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9A5F3">
      <w:pPr>
        <w:pStyle w:val="2"/>
        <w:bidi w:val="0"/>
        <w:rPr>
          <w:rFonts w:hint="eastAsia"/>
          <w:lang w:val="zh-CN"/>
        </w:rPr>
      </w:pPr>
      <w:bookmarkStart w:id="0" w:name="_Toc6009"/>
      <w:r>
        <w:rPr>
          <w:rFonts w:hint="eastAsia"/>
          <w:lang w:val="zh-CN"/>
        </w:rPr>
        <w:t>赛题一：VVC反变换模块（ITS）设计</w:t>
      </w:r>
    </w:p>
    <w:p w14:paraId="35E3A38A">
      <w:pPr>
        <w:ind w:firstLine="482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算法简介：</w:t>
      </w:r>
    </w:p>
    <w:p w14:paraId="7905B5D4">
      <w:pPr>
        <w:ind w:firstLine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asciiTheme="minorEastAsia" w:hAnsiTheme="minorEastAsia" w:eastAsiaTheme="minorEastAsia"/>
          <w:bCs/>
          <w:sz w:val="24"/>
          <w:szCs w:val="24"/>
        </w:rPr>
        <w:t>VVC（Versatile Video Coding）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作为新一代视频编码协议，在压缩效率上项目前一代标准H</w:t>
      </w:r>
      <w:r>
        <w:rPr>
          <w:rFonts w:asciiTheme="minorEastAsia" w:hAnsiTheme="minorEastAsia" w:eastAsiaTheme="minorEastAsia"/>
          <w:bCs/>
          <w:sz w:val="24"/>
          <w:szCs w:val="24"/>
        </w:rPr>
        <w:t>EVC（High Efficiency Video Coding）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提升~5</w:t>
      </w:r>
      <w:r>
        <w:rPr>
          <w:rFonts w:asciiTheme="minorEastAsia" w:hAnsiTheme="minorEastAsia" w:eastAsiaTheme="minorEastAsia"/>
          <w:bCs/>
          <w:sz w:val="24"/>
          <w:szCs w:val="24"/>
        </w:rPr>
        <w:t>0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%，代价是算法复杂度成倍增加。变换模块作为将时域信号转化为频域信号的关键步骤，对编码器的压缩效率至关重要。VVC协议引入更大的变换块（最大支持到</w:t>
      </w:r>
      <w:r>
        <w:rPr>
          <w:rFonts w:asciiTheme="minorEastAsia" w:hAnsiTheme="minorEastAsia" w:eastAsiaTheme="minorEastAsia"/>
          <w:bCs/>
          <w:sz w:val="24"/>
          <w:szCs w:val="24"/>
        </w:rPr>
        <w:t>64x64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）和多种变换核（M</w:t>
      </w:r>
      <w:r>
        <w:rPr>
          <w:rFonts w:asciiTheme="minorEastAsia" w:hAnsiTheme="minorEastAsia" w:eastAsiaTheme="minorEastAsia"/>
          <w:bCs/>
          <w:sz w:val="24"/>
          <w:szCs w:val="24"/>
        </w:rPr>
        <w:t>TS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，M</w:t>
      </w:r>
      <w:r>
        <w:rPr>
          <w:rFonts w:asciiTheme="minorEastAsia" w:hAnsiTheme="minorEastAsia" w:eastAsiaTheme="minorEastAsia"/>
          <w:bCs/>
          <w:sz w:val="24"/>
          <w:szCs w:val="24"/>
        </w:rPr>
        <w:t>ultiple transform selection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），实现更高的压缩效率。变换核类型如下所示：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3159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2245" w:type="dxa"/>
            <w:tcBorders>
              <w:top w:val="single" w:color="auto" w:sz="12" w:space="0"/>
              <w:left w:val="nil"/>
              <w:bottom w:val="double" w:color="auto" w:sz="4" w:space="0"/>
            </w:tcBorders>
            <w:shd w:val="clear" w:color="auto" w:fill="auto"/>
            <w:vAlign w:val="center"/>
          </w:tcPr>
          <w:p w14:paraId="6B1D77E8">
            <w:pPr>
              <w:pStyle w:val="12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Transform Type</w:t>
            </w:r>
          </w:p>
        </w:tc>
        <w:tc>
          <w:tcPr>
            <w:tcW w:w="6385" w:type="dxa"/>
            <w:tcBorders>
              <w:top w:val="single" w:color="auto" w:sz="12" w:space="0"/>
              <w:bottom w:val="double" w:color="auto" w:sz="4" w:space="0"/>
              <w:right w:val="nil"/>
            </w:tcBorders>
            <w:shd w:val="clear" w:color="auto" w:fill="auto"/>
            <w:vAlign w:val="center"/>
          </w:tcPr>
          <w:p w14:paraId="648DDCB7">
            <w:pPr>
              <w:pStyle w:val="12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Basis function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T</w:t>
            </w:r>
            <w:r>
              <w:rPr>
                <w:rFonts w:asciiTheme="minorEastAsia" w:hAnsiTheme="minorEastAsia" w:eastAsiaTheme="minorEastAsia"/>
                <w:i/>
                <w:szCs w:val="24"/>
                <w:vertAlign w:val="subscript"/>
                <w:lang w:val="en-CA"/>
              </w:rPr>
              <w:t>i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(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j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),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i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,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j</w:t>
            </w:r>
            <w:r>
              <w:rPr>
                <w:rFonts w:hint="eastAsia" w:asciiTheme="minorEastAsia" w:hAnsiTheme="minorEastAsia" w:eastAsiaTheme="minorEastAsia"/>
                <w:i/>
                <w:szCs w:val="24"/>
                <w:lang w:val="en-CA" w:eastAsia="ko-KR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=</w:t>
            </w:r>
            <w:r>
              <w:rPr>
                <w:rFonts w:hint="eastAsia" w:asciiTheme="minorEastAsia" w:hAnsiTheme="minorEastAsia" w:eastAsiaTheme="minorEastAsia"/>
                <w:szCs w:val="24"/>
                <w:lang w:val="en-CA" w:eastAsia="ko-KR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0, 1,…,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N</w:t>
            </w:r>
            <w:r>
              <w:rPr>
                <w:rFonts w:hint="eastAsia" w:ascii="微软雅黑" w:hAnsi="微软雅黑" w:eastAsia="微软雅黑" w:cs="微软雅黑"/>
                <w:szCs w:val="24"/>
                <w:lang w:val="en-CA"/>
              </w:rPr>
              <w:t>−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1</w:t>
            </w:r>
          </w:p>
        </w:tc>
      </w:tr>
      <w:tr w14:paraId="2C00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  <w:jc w:val="center"/>
        </w:trPr>
        <w:tc>
          <w:tcPr>
            <w:tcW w:w="2245" w:type="dxa"/>
            <w:tcBorders>
              <w:top w:val="double" w:color="auto" w:sz="4" w:space="0"/>
              <w:left w:val="nil"/>
            </w:tcBorders>
            <w:shd w:val="clear" w:color="auto" w:fill="auto"/>
            <w:vAlign w:val="center"/>
          </w:tcPr>
          <w:p w14:paraId="48D7A3D6">
            <w:pPr>
              <w:pStyle w:val="12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DCT2</w:t>
            </w:r>
          </w:p>
        </w:tc>
        <w:tc>
          <w:tcPr>
            <w:tcW w:w="6385" w:type="dxa"/>
            <w:tcBorders>
              <w:top w:val="double" w:color="auto" w:sz="4" w:space="0"/>
              <w:right w:val="nil"/>
            </w:tcBorders>
            <w:shd w:val="clear" w:color="auto" w:fill="auto"/>
            <w:vAlign w:val="center"/>
          </w:tcPr>
          <w:p w14:paraId="13B524D5">
            <w:pPr>
              <w:pStyle w:val="12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(j)=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ω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N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rad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cos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π∙i∙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>2j+1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2N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func>
              </m:oMath>
            </m:oMathPara>
          </w:p>
          <w:p w14:paraId="2752BBEC">
            <w:pPr>
              <w:pStyle w:val="12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hint="eastAsia" w:asciiTheme="minorEastAsia" w:hAnsiTheme="minorEastAsia" w:eastAsiaTheme="minorEastAsia"/>
                <w:szCs w:val="24"/>
                <w:lang w:val="en-CA" w:eastAsia="ko-KR"/>
              </w:rPr>
              <w:t>w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here</w:t>
            </w:r>
            <w:r>
              <w:rPr>
                <w:rFonts w:hint="eastAsia" w:asciiTheme="minorEastAsia" w:hAnsiTheme="minorEastAsia" w:eastAsiaTheme="minorEastAsia"/>
                <w:szCs w:val="24"/>
                <w:lang w:val="en-CA" w:eastAsia="ko-KR"/>
              </w:rPr>
              <w:t>,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fldChar w:fldCharType="begin"/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 xml:space="preserve">ω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 xml:space="preserve">0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Theme="minorEastAsia"/>
                  <w:szCs w:val="24"/>
                  <w:lang w:val="en-CA"/>
                </w:rPr>
                <m:t xml:space="preserve"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Theme="minorEastAsia"/>
                          <w:i/>
                          <w:szCs w:val="24"/>
                          <w:lang w:val="en-CA"/>
                        </w:rPr>
                      </m:ctrlPr>
                    </m:mPr>
                    <m:m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 xml:space="preserve">2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 xml:space="preserve">N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 xml:space="preserve">i=0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 xml:space="preserve"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 xml:space="preserve">i≠0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</m:d>
            </m:oMath>
            <w:r>
              <w:rPr>
                <w:rFonts w:asciiTheme="minorEastAsia" w:hAnsiTheme="minorEastAsia" w:eastAsiaTheme="minorEastAsia"/>
                <w:szCs w:val="24"/>
                <w:lang w:val="en-CA"/>
              </w:rPr>
              <w:instrText xml:space="preserve"> </w:instrTex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fldChar w:fldCharType="separate"/>
            </w:r>
            <m:oMath>
              <m:sSub>
                <m:sSubP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>ω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>0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Theme="minorEastAsia"/>
                  <w:szCs w:val="24"/>
                  <w:lang w:val="en-CA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Theme="minorEastAsia"/>
                          <w:i/>
                          <w:szCs w:val="24"/>
                          <w:lang w:val="en-CA"/>
                        </w:rPr>
                      </m:ctrlPr>
                    </m:mPr>
                    <m:m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i=0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i≠0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</m:d>
            </m:oMath>
            <w:r>
              <w:rPr>
                <w:rFonts w:asciiTheme="minorEastAsia" w:hAnsiTheme="minorEastAsia" w:eastAsiaTheme="minorEastAsia"/>
                <w:szCs w:val="24"/>
                <w:lang w:val="en-CA"/>
              </w:rPr>
              <w:fldChar w:fldCharType="end"/>
            </w:r>
          </w:p>
        </w:tc>
      </w:tr>
      <w:tr w14:paraId="73B4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5" w:type="dxa"/>
            <w:tcBorders>
              <w:left w:val="nil"/>
            </w:tcBorders>
            <w:shd w:val="clear" w:color="auto" w:fill="auto"/>
            <w:vAlign w:val="center"/>
          </w:tcPr>
          <w:p w14:paraId="1B7BB699">
            <w:pPr>
              <w:pStyle w:val="12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DCT8</w:t>
            </w:r>
          </w:p>
        </w:tc>
        <w:tc>
          <w:tcPr>
            <w:tcW w:w="6385" w:type="dxa"/>
            <w:tcBorders>
              <w:right w:val="nil"/>
            </w:tcBorders>
            <w:shd w:val="clear" w:color="auto" w:fill="auto"/>
            <w:vAlign w:val="center"/>
          </w:tcPr>
          <w:p w14:paraId="7418BA69">
            <w:pPr>
              <w:pStyle w:val="12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(j)=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4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2N+1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rad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cos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π∙(2i+1)∙(2j+1)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4N+2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func>
              </m:oMath>
            </m:oMathPara>
          </w:p>
        </w:tc>
      </w:tr>
      <w:tr w14:paraId="13D6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5" w:type="dxa"/>
            <w:tcBorders>
              <w:left w:val="nil"/>
              <w:bottom w:val="single" w:color="auto" w:sz="12" w:space="0"/>
            </w:tcBorders>
            <w:shd w:val="clear" w:color="auto" w:fill="auto"/>
            <w:vAlign w:val="center"/>
          </w:tcPr>
          <w:p w14:paraId="6473FD6E">
            <w:pPr>
              <w:pStyle w:val="12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DST7</w:t>
            </w:r>
          </w:p>
        </w:tc>
        <w:tc>
          <w:tcPr>
            <w:tcW w:w="6385" w:type="dxa"/>
            <w:tcBorders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0CE4265">
            <w:pPr>
              <w:pStyle w:val="12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(j)=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4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2N+1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rad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sin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π∙(2i+1)∙(j+1)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2N+1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func>
              </m:oMath>
            </m:oMathPara>
          </w:p>
        </w:tc>
      </w:tr>
    </w:tbl>
    <w:p w14:paraId="15480F96">
      <w:pPr>
        <w:widowControl/>
        <w:autoSpaceDE/>
        <w:autoSpaceDN/>
        <w:adjustRightInd/>
        <w:spacing w:line="240" w:lineRule="auto"/>
        <w:rPr>
          <w:rFonts w:asciiTheme="minorEastAsia" w:hAnsiTheme="minorEastAsia" w:eastAsiaTheme="minorEastAsia"/>
          <w:snapToGrid/>
          <w:sz w:val="24"/>
          <w:szCs w:val="24"/>
        </w:rPr>
      </w:pPr>
    </w:p>
    <w:p w14:paraId="088AA757">
      <w:pPr>
        <w:ind w:firstLine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此外，VVC协议还引入了L</w:t>
      </w:r>
      <w:r>
        <w:rPr>
          <w:rFonts w:asciiTheme="minorEastAsia" w:hAnsiTheme="minorEastAsia" w:eastAsiaTheme="minorEastAsia"/>
          <w:bCs/>
          <w:sz w:val="24"/>
          <w:szCs w:val="24"/>
        </w:rPr>
        <w:t>FNST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（L</w:t>
      </w:r>
      <w:r>
        <w:rPr>
          <w:rFonts w:asciiTheme="minorEastAsia" w:hAnsiTheme="minorEastAsia" w:eastAsiaTheme="minorEastAsia"/>
          <w:bCs/>
          <w:sz w:val="24"/>
          <w:szCs w:val="24"/>
        </w:rPr>
        <w:t>ow-frequency non-separable transform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），在编码端对变换之后的系数进行二次变换，进一步压缩系数编码比特数。举例如下，对于一个</w:t>
      </w:r>
      <w:r>
        <w:rPr>
          <w:rFonts w:asciiTheme="minorEastAsia" w:hAnsiTheme="minorEastAsia" w:eastAsiaTheme="minorEastAsia"/>
          <w:bCs/>
          <w:sz w:val="24"/>
          <w:szCs w:val="24"/>
        </w:rPr>
        <w:t>4x4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的</w:t>
      </w:r>
      <w:r>
        <w:rPr>
          <w:rFonts w:asciiTheme="minorEastAsia" w:hAnsiTheme="minorEastAsia" w:eastAsiaTheme="minorEastAsia"/>
          <w:bCs/>
          <w:sz w:val="24"/>
          <w:szCs w:val="24"/>
        </w:rPr>
        <w:t>LFNST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，输入数据记作X：</w:t>
      </w:r>
    </w:p>
    <w:p w14:paraId="4A4270C6">
      <w:pPr>
        <w:ind w:firstLine="480" w:firstLineChars="200"/>
        <w:rPr>
          <w:rFonts w:cs="华文仿宋" w:asciiTheme="minorEastAsia" w:hAnsiTheme="minorEastAsia" w:eastAsiaTheme="minorEastAsia"/>
          <w:snapToGrid/>
          <w:sz w:val="24"/>
          <w:szCs w:val="24"/>
        </w:rPr>
      </w:pPr>
      <m:oMathPara>
        <m:oMath>
          <m:r>
            <m:rPr/>
            <w:rPr>
              <w:rFonts w:ascii="Cambria Math" w:hAnsi="Cambria Math" w:eastAsiaTheme="minorEastAsia"/>
              <w:sz w:val="24"/>
              <w:szCs w:val="24"/>
              <w:lang w:val="en-CA"/>
            </w:rPr>
            <m:t>X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  <w:lang w:val="en-C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  <w:lang w:val="en-CA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</m:ctrlPr>
            </m:e>
          </m:d>
        </m:oMath>
      </m:oMathPara>
    </w:p>
    <w:p w14:paraId="71ED304C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先将X展开成一个一维列向量</w:t>
      </w:r>
      <m:oMath>
        <m:acc>
          <m:accPr>
            <m:chr m:val="⃑"/>
            <m:ctrlPr>
              <w:rPr>
                <w:rFonts w:ascii="Cambria Math" w:hAnsi="Cambria Math" w:eastAsiaTheme="minorEastAsia"/>
                <w:i/>
                <w:sz w:val="24"/>
                <w:szCs w:val="24"/>
                <w:lang w:val="en-CA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  <w:szCs w:val="24"/>
                <w:lang w:val="en-CA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val="en-CA"/>
              </w:rPr>
            </m:ctrlPr>
          </m:e>
        </m:acc>
      </m:oMath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：</w:t>
      </w:r>
    </w:p>
    <w:p w14:paraId="3362C1AE">
      <w:pPr>
        <w:ind w:left="720"/>
        <w:rPr>
          <w:rFonts w:cs="华文仿宋" w:asciiTheme="minorEastAsia" w:hAnsiTheme="minorEastAsia" w:eastAsiaTheme="minorEastAsia"/>
          <w:sz w:val="24"/>
          <w:szCs w:val="24"/>
          <w:lang w:val="en-CA"/>
        </w:rPr>
      </w:pPr>
      <m:oMathPara>
        <m:oMath>
          <m:acc>
            <m:accPr>
              <m:chr m:val="⃑"/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  <m:t>X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e>
          </m:acc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  <w:lang w:val="en-CA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Theme="minorEastAsia"/>
                          <w:i/>
                          <w:sz w:val="24"/>
                          <w:szCs w:val="24"/>
                          <w:lang w:val="en-CA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CA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CA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  <w:lang w:val="en-CA"/>
                    </w:rPr>
                  </m:ctrlPr>
                </m:e>
              </m:d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e>
            <m:sup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  <m:t>T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sup>
          </m:sSup>
        </m:oMath>
      </m:oMathPara>
    </w:p>
    <w:p w14:paraId="6EAD039B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然后再和变换核T进行矩阵乘，限幅输出：</w:t>
      </w:r>
    </w:p>
    <w:p w14:paraId="7E703183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y[ i ] = Clip3( -32768, 32767, ( ( </w:t>
      </w:r>
      <m:oMath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naryPr>
          <m: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j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=0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</w:rPr>
              <m:t>nonZeroSize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−1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lowFreqTransMatrix[ </m:t>
            </m:r>
            <m:r>
              <m:rPr>
                <m:sty m:val="p"/>
              </m:rPr>
              <w:rPr>
                <w:rFonts w:ascii="Cambria Math" w:hAnsi="Cambria Math" w:cs="BatangChe" w:eastAsiaTheme="minorEastAsia"/>
                <w:sz w:val="24"/>
                <w:szCs w:val="24"/>
                <w:lang w:eastAsia="ko-KR"/>
              </w:rPr>
              <m:t>i</m:t>
            </m:r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 ][ j ]∗</m:t>
            </m:r>
            <m:acc>
              <m:accPr>
                <m:chr m:val="⃑"/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  <w:lang w:val="en-CA"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  <w:lang w:val="en-CA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  <w:lang w:val="en-CA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[ j ]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e>
        </m:nary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 ) + 64 ) &gt;&gt; 7 )</w:t>
      </w:r>
    </w:p>
    <w:p w14:paraId="3128777C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其中，n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onZeroSize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取值判断如下：</w:t>
      </w:r>
    </w:p>
    <w:p w14:paraId="787CA47D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>nonZeroSize = ((tu_width == 4 &amp;&amp; tu_height == 4) | | (tu_width == 8 &amp;&amp; tu_height == 8)) ? 8 : 16</w:t>
      </w:r>
    </w:p>
    <w:p w14:paraId="60BF4472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解码过程同理，先</w:t>
      </w:r>
      <w:r>
        <w:rPr>
          <w:rFonts w:asciiTheme="minorEastAsia" w:hAnsiTheme="minorEastAsia" w:eastAsiaTheme="minorEastAsia"/>
          <w:snapToGrid/>
          <w:sz w:val="24"/>
          <w:szCs w:val="24"/>
        </w:rPr>
        <w:t>进行LFNST反变换，再对结果进行IDCT或IDST。</w:t>
      </w:r>
    </w:p>
    <w:p w14:paraId="24B1BF21">
      <w:pPr>
        <w:ind w:left="720"/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如果transform type = DCT2，按照如下公式进行IDCT计算：</w:t>
      </w:r>
    </w:p>
    <w:p w14:paraId="51FE162D">
      <w:pPr>
        <w:ind w:left="720"/>
        <w:jc w:val="center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>y[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>i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]= </w:t>
      </w:r>
      <m:oMath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naryPr>
          <m: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j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=0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b>
          <m:sup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nonZeroS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−1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transMatrix[</m:t>
            </m:r>
            <w:bookmarkStart w:id="1" w:name="_Hlk30769396"/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 </m:t>
            </m:r>
            <w:bookmarkEnd w:id="1"/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i ][ j∗</m:t>
            </m:r>
            <m:sSup>
              <m:sSupPr>
                <m:ctrl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  <m:t>2</m:t>
                </m:r>
                <m:ctrl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  <m:t>6−Log2(nTbS)</m:t>
                </m:r>
                <m:ctrl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 ]∗x[ j ]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e>
        </m:nary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  with i = 0..nTbS </w:t>
      </w:r>
      <w:r>
        <w:rPr>
          <w:rFonts w:hint="eastAsia" w:ascii="微软雅黑" w:hAnsi="微软雅黑" w:eastAsia="微软雅黑" w:cs="微软雅黑"/>
          <w:sz w:val="24"/>
          <w:szCs w:val="24"/>
          <w:lang w:eastAsia="ko-KR"/>
        </w:rPr>
        <w:t>−</w:t>
      </w:r>
      <w:r>
        <w:rPr>
          <w:rFonts w:hint="eastAsia" w:cs="宋体" w:asciiTheme="minorEastAsia" w:hAnsiTheme="minorEastAsia" w:eastAsiaTheme="minorEastAsia"/>
          <w:sz w:val="24"/>
          <w:szCs w:val="24"/>
          <w:lang w:eastAsia="ko-KR"/>
        </w:rPr>
        <w:t> </w:t>
      </w:r>
      <w:r>
        <w:rPr>
          <w:rFonts w:asciiTheme="minorEastAsia" w:hAnsiTheme="minorEastAsia" w:eastAsiaTheme="minorEastAsia"/>
          <w:sz w:val="24"/>
          <w:szCs w:val="24"/>
          <w:lang w:eastAsia="ko-KR"/>
        </w:rPr>
        <w:t>1</w:t>
      </w:r>
    </w:p>
    <w:p w14:paraId="1BA5973D">
      <w:pPr>
        <w:ind w:left="720"/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否则，transform type = DCT8或DST7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，按照如下公式进行计算：</w:t>
      </w:r>
    </w:p>
    <w:p w14:paraId="3AA7BF4D">
      <w:pPr>
        <w:ind w:left="720"/>
        <w:jc w:val="center"/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>y[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>i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]= </w:t>
      </w:r>
      <m:oMath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naryPr>
          <m: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j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=0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b>
          <m:sup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nonZeroS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−1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transMatrix[ i ][ j ]∗x[ j ]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e>
        </m:nary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  with i = 0..nTbS </w:t>
      </w:r>
      <w:r>
        <w:rPr>
          <w:rFonts w:hint="eastAsia" w:ascii="微软雅黑" w:hAnsi="微软雅黑" w:eastAsia="微软雅黑" w:cs="微软雅黑"/>
          <w:sz w:val="24"/>
          <w:szCs w:val="24"/>
          <w:lang w:eastAsia="ko-KR"/>
        </w:rPr>
        <w:t>−</w:t>
      </w:r>
      <w:r>
        <w:rPr>
          <w:rFonts w:hint="eastAsia" w:cs="宋体" w:asciiTheme="minorEastAsia" w:hAnsiTheme="minorEastAsia" w:eastAsiaTheme="minorEastAsia"/>
          <w:sz w:val="24"/>
          <w:szCs w:val="24"/>
          <w:lang w:eastAsia="ko-KR"/>
        </w:rPr>
        <w:t> </w:t>
      </w:r>
      <w:r>
        <w:rPr>
          <w:rFonts w:asciiTheme="minorEastAsia" w:hAnsiTheme="minorEastAsia" w:eastAsiaTheme="minorEastAsia"/>
          <w:sz w:val="24"/>
          <w:szCs w:val="24"/>
          <w:lang w:eastAsia="ko-KR"/>
        </w:rPr>
        <w:t>1</w:t>
      </w:r>
    </w:p>
    <w:p w14:paraId="5062B308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对于不同transform type的transMatrix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取值以及l</w:t>
      </w:r>
      <w:r>
        <w:rPr>
          <w:rFonts w:asciiTheme="minorEastAsia" w:hAnsiTheme="minorEastAsia" w:eastAsiaTheme="minorEastAsia"/>
          <w:snapToGrid/>
          <w:sz w:val="24"/>
          <w:szCs w:val="24"/>
        </w:rPr>
        <w:t>owFreqTransMatrix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取值详见以下附件：</w:t>
      </w:r>
    </w:p>
    <w:p w14:paraId="42198759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fldChar w:fldCharType="begin"/>
      </w: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instrText xml:space="preserve"> HYPERLINK "https://www.kdocs.cn/l/cnmjF3svFtpJ" </w:instrText>
      </w: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fldChar w:fldCharType="separate"/>
      </w:r>
      <w:r>
        <w:rPr>
          <w:rStyle w:val="11"/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t>https://www.kdocs.cn/l/cnmjF3svFtpJ</w:t>
      </w: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fldChar w:fldCharType="end"/>
      </w:r>
    </w:p>
    <w:p w14:paraId="3A0199DA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</w:pPr>
      <w:bookmarkStart w:id="2" w:name="_MON_1828198023"/>
      <w:bookmarkEnd w:id="2"/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t>备用下载链接：</w:t>
      </w:r>
    </w:p>
    <w:p w14:paraId="03B99C9A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"https://cpipc.acge.org.cn/sysFile/downFile.do?fileId=9834343dc0af4709a0bcb89a6adf74e9"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woUserID w:val="1"/>
        </w:rPr>
        <w:t>https://cpipc.acge.org.cn/sysFile/downFile.do?fileId=9834343dc0af4709a0bcb89a6adf74e9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 w14:paraId="0CBD030E">
      <w:pPr>
        <w:ind w:firstLine="482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题目要求：</w:t>
      </w:r>
    </w:p>
    <w:p w14:paraId="4A2AE835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snapToGrid/>
          <w:sz w:val="24"/>
          <w:szCs w:val="24"/>
        </w:rPr>
        <w:t xml:space="preserve">1.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实现VVC反变换模块设计，要求支持DCT2、DCT8和DST7三种反变换类型，支持LFNST反二次变换</w:t>
      </w:r>
    </w:p>
    <w:p w14:paraId="6B1B14F7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2. 反二次变换时，先对输入数据做LFNST，然后再做DCT2反变换</w:t>
      </w:r>
    </w:p>
    <w:p w14:paraId="09002E29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 数据按照T</w:t>
      </w:r>
      <w:r>
        <w:rPr>
          <w:rFonts w:asciiTheme="minorEastAsia" w:hAnsiTheme="minorEastAsia" w:eastAsiaTheme="minorEastAsia"/>
          <w:bCs/>
          <w:sz w:val="24"/>
          <w:szCs w:val="24"/>
        </w:rPr>
        <w:t>U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内光栅扫描顺序输入，一拍一个点，且只输入非零点</w:t>
      </w:r>
    </w:p>
    <w:p w14:paraId="66F79A0F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4. 计算性能要求一拍计算四个点，支持流水</w:t>
      </w:r>
    </w:p>
    <w:p w14:paraId="43DE1002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5. 计算结果按照TU内光栅扫描顺序输出，一拍4个点</w:t>
      </w:r>
    </w:p>
    <w:p w14:paraId="3918FF68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6. 使用verilog实现反变换模块设计</w:t>
      </w:r>
    </w:p>
    <w:p w14:paraId="0F0B1B17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7. 工作主频500M</w:t>
      </w:r>
    </w:p>
    <w:p w14:paraId="381B00D2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8. 追求面积和功耗最优</w:t>
      </w:r>
    </w:p>
    <w:p w14:paraId="7EFB4C5B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9</w:t>
      </w:r>
      <w:r>
        <w:rPr>
          <w:rFonts w:asciiTheme="minorEastAsia" w:hAnsiTheme="minorEastAsia" w:eastAsiaTheme="minorEastAsia"/>
          <w:bCs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要求支持以下表格中所有变换块大小与对应变换类型组合：</w:t>
      </w:r>
    </w:p>
    <w:tbl>
      <w:tblPr>
        <w:tblStyle w:val="9"/>
        <w:tblW w:w="9016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7720"/>
      </w:tblGrid>
      <w:tr w14:paraId="6881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09AD379F">
            <w:pPr>
              <w:adjustRightInd w:val="0"/>
              <w:jc w:val="center"/>
              <w:rPr>
                <w:rFonts w:asciiTheme="minorEastAsia" w:hAnsiTheme="minorEastAsia" w:eastAsiaTheme="minorEastAsia"/>
                <w:b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变换类型</w:t>
            </w:r>
          </w:p>
        </w:tc>
        <w:tc>
          <w:tcPr>
            <w:tcW w:w="7898" w:type="dxa"/>
          </w:tcPr>
          <w:p w14:paraId="553B8C47">
            <w:pPr>
              <w:adjustRightInd w:val="0"/>
              <w:jc w:val="center"/>
              <w:rPr>
                <w:rFonts w:asciiTheme="minorEastAsia" w:hAnsiTheme="minorEastAsia" w:eastAsiaTheme="minorEastAsia"/>
                <w:b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块大小</w:t>
            </w:r>
          </w:p>
        </w:tc>
      </w:tr>
      <w:tr w14:paraId="3DA0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4613451E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D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CT2</w:t>
            </w:r>
          </w:p>
        </w:tc>
        <w:tc>
          <w:tcPr>
            <w:tcW w:w="7898" w:type="dxa"/>
          </w:tcPr>
          <w:p w14:paraId="6C4F69F6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4x64</w:t>
            </w:r>
          </w:p>
        </w:tc>
      </w:tr>
      <w:tr w14:paraId="50FD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61155903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D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CT8</w:t>
            </w:r>
          </w:p>
        </w:tc>
        <w:tc>
          <w:tcPr>
            <w:tcW w:w="7898" w:type="dxa"/>
          </w:tcPr>
          <w:p w14:paraId="0B04C4C6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</w:p>
        </w:tc>
      </w:tr>
      <w:tr w14:paraId="0B2A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2C7CBDE7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D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ST7</w:t>
            </w:r>
          </w:p>
        </w:tc>
        <w:tc>
          <w:tcPr>
            <w:tcW w:w="7898" w:type="dxa"/>
          </w:tcPr>
          <w:p w14:paraId="488E0389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</w:p>
        </w:tc>
      </w:tr>
      <w:tr w14:paraId="1BC3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Merge w:val="restart"/>
            <w:vAlign w:val="center"/>
          </w:tcPr>
          <w:p w14:paraId="77142DD5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</w:t>
            </w:r>
          </w:p>
        </w:tc>
        <w:tc>
          <w:tcPr>
            <w:tcW w:w="7898" w:type="dxa"/>
          </w:tcPr>
          <w:p w14:paraId="5C2F404F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n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Trs = 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4x4</w:t>
            </w:r>
          </w:p>
        </w:tc>
      </w:tr>
      <w:tr w14:paraId="496B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Merge w:val="continue"/>
          </w:tcPr>
          <w:p w14:paraId="231692D6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898" w:type="dxa"/>
          </w:tcPr>
          <w:p w14:paraId="340BF2BC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n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Trs = 48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4x64</w:t>
            </w:r>
          </w:p>
        </w:tc>
      </w:tr>
    </w:tbl>
    <w:p w14:paraId="4C3EA804">
      <w:pPr>
        <w:numPr>
          <w:ilvl w:val="0"/>
          <w:numId w:val="1"/>
        </w:numPr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10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. 模块接口信号列表如下：</w:t>
      </w:r>
    </w:p>
    <w:tbl>
      <w:tblPr>
        <w:tblStyle w:val="9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936"/>
        <w:gridCol w:w="1056"/>
        <w:gridCol w:w="3314"/>
      </w:tblGrid>
      <w:tr w14:paraId="52E0A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AC087CF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接口信号</w:t>
            </w:r>
          </w:p>
        </w:tc>
        <w:tc>
          <w:tcPr>
            <w:tcW w:w="709" w:type="dxa"/>
          </w:tcPr>
          <w:p w14:paraId="6726C852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位宽</w:t>
            </w:r>
          </w:p>
        </w:tc>
        <w:tc>
          <w:tcPr>
            <w:tcW w:w="567" w:type="dxa"/>
          </w:tcPr>
          <w:p w14:paraId="55DFCD80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/O</w:t>
            </w:r>
          </w:p>
        </w:tc>
        <w:tc>
          <w:tcPr>
            <w:tcW w:w="5913" w:type="dxa"/>
          </w:tcPr>
          <w:p w14:paraId="05DB8DEE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描述</w:t>
            </w:r>
          </w:p>
        </w:tc>
      </w:tr>
      <w:tr w14:paraId="7B3E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0EC8D2D1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t_info</w:t>
            </w:r>
          </w:p>
        </w:tc>
        <w:tc>
          <w:tcPr>
            <w:tcW w:w="709" w:type="dxa"/>
            <w:vAlign w:val="center"/>
          </w:tcPr>
          <w:p w14:paraId="494C5C5D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20</w:t>
            </w:r>
          </w:p>
        </w:tc>
        <w:tc>
          <w:tcPr>
            <w:tcW w:w="567" w:type="dxa"/>
            <w:vAlign w:val="center"/>
          </w:tcPr>
          <w:p w14:paraId="11803DB8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7FCC7ED3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6:0]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：tu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_width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，TU宽度</w:t>
            </w:r>
          </w:p>
          <w:p w14:paraId="632A73B0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13:7]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u_height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，TU高度</w:t>
            </w:r>
          </w:p>
          <w:p w14:paraId="6EA51DB2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15:14]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r_type_hor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，水平变换类型</w:t>
            </w:r>
          </w:p>
          <w:p w14:paraId="4F71320B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17:16]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r_type_ver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，垂直变化类型</w:t>
            </w:r>
          </w:p>
          <w:p w14:paraId="4499BDEA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19:18]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fnst_tr_set_idx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T变换类型集索引</w:t>
            </w:r>
          </w:p>
          <w:p w14:paraId="5917A5C1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21:20]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fnst_idx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变换核索引，0表示不需要L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变换</w:t>
            </w:r>
          </w:p>
        </w:tc>
      </w:tr>
      <w:tr w14:paraId="2B5D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122B31F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t_info_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vld</w:t>
            </w:r>
          </w:p>
        </w:tc>
        <w:tc>
          <w:tcPr>
            <w:tcW w:w="709" w:type="dxa"/>
            <w:vAlign w:val="center"/>
          </w:tcPr>
          <w:p w14:paraId="1B3E874D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8D9630C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56B9A78A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info有效，脉冲信号，高电平有效</w:t>
            </w:r>
          </w:p>
        </w:tc>
      </w:tr>
      <w:tr w14:paraId="1C5B6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0A1B5D4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t_data_in</w:t>
            </w:r>
          </w:p>
        </w:tc>
        <w:tc>
          <w:tcPr>
            <w:tcW w:w="709" w:type="dxa"/>
            <w:vAlign w:val="center"/>
          </w:tcPr>
          <w:p w14:paraId="46C96194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</w:t>
            </w:r>
          </w:p>
        </w:tc>
        <w:tc>
          <w:tcPr>
            <w:tcW w:w="567" w:type="dxa"/>
            <w:vAlign w:val="center"/>
          </w:tcPr>
          <w:p w14:paraId="36B14342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496E024F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输入数据，有符号数，只输入非零数据，零数据跳过</w:t>
            </w:r>
          </w:p>
        </w:tc>
      </w:tr>
      <w:tr w14:paraId="5252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79A006F9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t_data_addr</w:t>
            </w:r>
          </w:p>
        </w:tc>
        <w:tc>
          <w:tcPr>
            <w:tcW w:w="709" w:type="dxa"/>
            <w:vAlign w:val="center"/>
          </w:tcPr>
          <w:p w14:paraId="0B38899A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13039843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0BF5087A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当前输入数据在TU内的光栅扫描顺序</w:t>
            </w:r>
          </w:p>
        </w:tc>
      </w:tr>
      <w:tr w14:paraId="573C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5110D9BF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t_data_in_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vld</w:t>
            </w:r>
          </w:p>
        </w:tc>
        <w:tc>
          <w:tcPr>
            <w:tcW w:w="709" w:type="dxa"/>
            <w:vAlign w:val="center"/>
          </w:tcPr>
          <w:p w14:paraId="0E7E532D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1F499035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642E1732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输入数据有效，脉冲信号，高电平有效</w:t>
            </w:r>
          </w:p>
        </w:tc>
      </w:tr>
      <w:tr w14:paraId="70E5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50A30867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t_data_in_req</w:t>
            </w:r>
          </w:p>
        </w:tc>
        <w:tc>
          <w:tcPr>
            <w:tcW w:w="709" w:type="dxa"/>
            <w:vAlign w:val="center"/>
          </w:tcPr>
          <w:p w14:paraId="19863887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D33561A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457B1317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输入数据请求，要求输入支持按点反压</w:t>
            </w:r>
          </w:p>
          <w:p w14:paraId="1D98258F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it_data_in_req=1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时，i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n_data_in_vld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才会拉高</w:t>
            </w:r>
          </w:p>
        </w:tc>
      </w:tr>
      <w:tr w14:paraId="12D4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65F6108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</w:t>
            </w:r>
          </w:p>
        </w:tc>
        <w:tc>
          <w:tcPr>
            <w:tcW w:w="709" w:type="dxa"/>
            <w:vAlign w:val="center"/>
          </w:tcPr>
          <w:p w14:paraId="041A46C1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7F18FB3A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7C6AEB35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反变换后的数据结果，要求按照TU内光栅扫描顺序输出，一拍4个点</w:t>
            </w:r>
          </w:p>
          <w:p w14:paraId="2CCE5C4C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9:0]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：4个点光栅序第一个结果</w:t>
            </w:r>
          </w:p>
          <w:p w14:paraId="03B795D2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19:10]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：第二个结果</w:t>
            </w:r>
          </w:p>
          <w:p w14:paraId="34FB5455">
            <w:pPr>
              <w:adjustRightInd w:val="0"/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29:20]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：第三个结果</w:t>
            </w:r>
          </w:p>
          <w:p w14:paraId="28DF1FD1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39:30]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：第四个结果</w:t>
            </w:r>
          </w:p>
        </w:tc>
      </w:tr>
      <w:tr w14:paraId="2270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75B67FE8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t_data_out_vld</w:t>
            </w:r>
          </w:p>
        </w:tc>
        <w:tc>
          <w:tcPr>
            <w:tcW w:w="709" w:type="dxa"/>
            <w:vAlign w:val="center"/>
          </w:tcPr>
          <w:p w14:paraId="7555CEFB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7F25C01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27C09710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输出数据有效，脉冲信号，高电平有效</w:t>
            </w:r>
          </w:p>
        </w:tc>
      </w:tr>
      <w:tr w14:paraId="574F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FEF5F08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t_data_out_req</w:t>
            </w:r>
          </w:p>
        </w:tc>
        <w:tc>
          <w:tcPr>
            <w:tcW w:w="709" w:type="dxa"/>
            <w:vAlign w:val="center"/>
          </w:tcPr>
          <w:p w14:paraId="5D1D967D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323186B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046CA701">
            <w:pPr>
              <w:adjustRightInd w:val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高电平有效，i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t_data_out_req=1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时才允许输出数据，否则i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t_data_out_vld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不能拉高</w:t>
            </w:r>
          </w:p>
        </w:tc>
      </w:tr>
      <w:tr w14:paraId="19FDF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1E3839D8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t_done</w:t>
            </w:r>
          </w:p>
        </w:tc>
        <w:tc>
          <w:tcPr>
            <w:tcW w:w="709" w:type="dxa"/>
            <w:vAlign w:val="center"/>
          </w:tcPr>
          <w:p w14:paraId="6E0FD268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007CFCC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76BBB43A">
            <w:pPr>
              <w:adjustRightInd w:val="0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TU计算并输出完成，脉冲信号，高电平有效</w:t>
            </w:r>
          </w:p>
        </w:tc>
      </w:tr>
    </w:tbl>
    <w:p w14:paraId="3FEB1990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</w:p>
    <w:p w14:paraId="394071B2">
      <w:pPr>
        <w:ind w:firstLine="482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评审得分点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：</w:t>
      </w:r>
    </w:p>
    <w:p w14:paraId="78567EF8">
      <w:pPr>
        <w:numPr>
          <w:ilvl w:val="0"/>
          <w:numId w:val="2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实现算法功能正确，满足题目要求；</w:t>
      </w:r>
    </w:p>
    <w:p w14:paraId="2951F0F9">
      <w:pPr>
        <w:numPr>
          <w:ilvl w:val="0"/>
          <w:numId w:val="2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设计方案文档描述清晰，模块功能划分合理；</w:t>
      </w:r>
    </w:p>
    <w:p w14:paraId="4796441E">
      <w:pPr>
        <w:numPr>
          <w:ilvl w:val="0"/>
          <w:numId w:val="2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t>算法文档明确说明模块内部量化定标，及对应得性能分析；</w:t>
      </w:r>
    </w:p>
    <w:p w14:paraId="6AC00D8F">
      <w:pPr>
        <w:numPr>
          <w:ilvl w:val="0"/>
          <w:numId w:val="2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同等性能约束下，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模块面积越小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功耗越低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得分越高；</w:t>
      </w:r>
    </w:p>
    <w:p w14:paraId="64D51EE8">
      <w:pPr>
        <w:numPr>
          <w:ilvl w:val="0"/>
          <w:numId w:val="2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t>PPA指标均以所有参赛团队在各个专项的归一化分数统计，以各专项第一名的指标为10分，最后一名的指标为1分，其他名次指标在中间做线性量化分数。</w:t>
      </w:r>
    </w:p>
    <w:p w14:paraId="5F0FA310">
      <w:pPr>
        <w:numPr>
          <w:ilvl w:val="0"/>
          <w:numId w:val="2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要求有完备的验证方案和验证用例；</w:t>
      </w:r>
    </w:p>
    <w:p w14:paraId="75EF9585">
      <w:pPr>
        <w:ind w:left="480"/>
        <w:rPr>
          <w:rFonts w:cs="华文仿宋" w:asciiTheme="minorEastAsia" w:hAnsiTheme="minorEastAsia" w:eastAsiaTheme="minorEastAsia"/>
          <w:b/>
          <w:snapToGrid/>
          <w:sz w:val="24"/>
          <w:szCs w:val="24"/>
          <w:lang w:val="zh-CN"/>
        </w:rPr>
      </w:pPr>
      <w:r>
        <w:rPr>
          <w:rFonts w:hint="eastAsia" w:cs="华文仿宋" w:asciiTheme="minorEastAsia" w:hAnsiTheme="minorEastAsia" w:eastAsiaTheme="minorEastAsia"/>
          <w:b/>
          <w:snapToGrid/>
          <w:sz w:val="24"/>
          <w:szCs w:val="24"/>
          <w:lang w:val="zh-CN"/>
        </w:rPr>
        <w:t>输出要求：</w:t>
      </w:r>
    </w:p>
    <w:p w14:paraId="03480110">
      <w:pPr>
        <w:numPr>
          <w:ilvl w:val="0"/>
          <w:numId w:val="3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I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TS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详细设计文档和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RTL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代码；</w:t>
      </w:r>
    </w:p>
    <w:p w14:paraId="7C5D6C18">
      <w:pPr>
        <w:numPr>
          <w:ilvl w:val="0"/>
          <w:numId w:val="3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I</w:t>
      </w:r>
      <w:r>
        <w:rPr>
          <w:rFonts w:asciiTheme="minorEastAsia" w:hAnsiTheme="minorEastAsia" w:eastAsiaTheme="minorEastAsia"/>
          <w:sz w:val="24"/>
          <w:szCs w:val="24"/>
        </w:rPr>
        <w:t>TS验证环境、验证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用例、验证数据和波形截图；</w:t>
      </w:r>
    </w:p>
    <w:p w14:paraId="2708D826">
      <w:pPr>
        <w:numPr>
          <w:ilvl w:val="0"/>
          <w:numId w:val="3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t>提供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I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TS的功耗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、性能、面积评估数据，使用工艺库评估的需标明工艺库；使用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FPGA工具评估的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需写明工具版本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device型号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资源占用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时序信息等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。</w:t>
      </w:r>
    </w:p>
    <w:bookmarkEnd w:id="0"/>
    <w:p w14:paraId="0D44250E">
      <w:pPr>
        <w:ind w:left="0" w:leftChars="0" w:firstLine="0" w:firstLineChars="0"/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atangChe">
    <w:altName w:val="Malgun Gothic"/>
    <w:panose1 w:val="02030609000101010101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17379"/>
    <w:multiLevelType w:val="multilevel"/>
    <w:tmpl w:val="19F17379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EA64E49"/>
    <w:multiLevelType w:val="multilevel"/>
    <w:tmpl w:val="2EA64E49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4FF0674C"/>
    <w:multiLevelType w:val="multilevel"/>
    <w:tmpl w:val="4FF0674C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21ED4"/>
    <w:rsid w:val="0FC85239"/>
    <w:rsid w:val="1BC2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360" w:lineRule="auto"/>
      <w:ind w:left="0" w:leftChars="0" w:right="0" w:rightChars="0" w:firstLine="0" w:firstLineChars="200"/>
      <w:jc w:val="both"/>
    </w:pPr>
    <w:rPr>
      <w:rFonts w:ascii="等线" w:hAnsi="等线" w:eastAsia="等线" w:cs="等线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spacing w:line="240" w:lineRule="auto"/>
      <w:ind w:left="0" w:right="0" w:firstLine="0" w:firstLineChars="0"/>
      <w:outlineLvl w:val="0"/>
    </w:pPr>
    <w:rPr>
      <w:b/>
      <w:sz w:val="30"/>
      <w:szCs w:val="28"/>
    </w:rPr>
  </w:style>
  <w:style w:type="paragraph" w:styleId="3">
    <w:name w:val="heading 2"/>
    <w:basedOn w:val="1"/>
    <w:next w:val="1"/>
    <w:unhideWhenUsed/>
    <w:qFormat/>
    <w:uiPriority w:val="0"/>
    <w:pPr>
      <w:spacing w:after="200" w:line="240" w:lineRule="auto"/>
      <w:ind w:left="0" w:right="0" w:firstLine="0" w:firstLineChars="0"/>
      <w:outlineLvl w:val="1"/>
    </w:pPr>
    <w:rPr>
      <w:b/>
      <w:spacing w:val="-1"/>
    </w:rPr>
  </w:style>
  <w:style w:type="paragraph" w:styleId="4">
    <w:name w:val="heading 3"/>
    <w:basedOn w:val="1"/>
    <w:next w:val="1"/>
    <w:unhideWhenUsed/>
    <w:qFormat/>
    <w:uiPriority w:val="0"/>
    <w:pPr>
      <w:ind w:firstLineChars="0"/>
      <w:jc w:val="both"/>
      <w:outlineLvl w:val="2"/>
    </w:pPr>
    <w:rPr>
      <w:lang w:eastAsia="zh-CN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line="461" w:lineRule="auto"/>
      <w:ind w:left="119" w:right="187" w:firstLine="440"/>
    </w:pPr>
  </w:style>
  <w:style w:type="paragraph" w:styleId="6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7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table" w:styleId="9">
    <w:name w:val="Table Grid"/>
    <w:basedOn w:val="8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paragraph" w:customStyle="1" w:styleId="12">
    <w:name w:val="Equation"/>
    <w:basedOn w:val="1"/>
    <w:qFormat/>
    <w:uiPriority w:val="0"/>
    <w:pPr>
      <w:widowControl/>
      <w:tabs>
        <w:tab w:val="center" w:pos="4320"/>
        <w:tab w:val="right" w:pos="8640"/>
      </w:tabs>
      <w:autoSpaceDE/>
      <w:autoSpaceDN/>
      <w:adjustRightInd/>
      <w:spacing w:before="240" w:after="240" w:line="240" w:lineRule="auto"/>
      <w:jc w:val="both"/>
    </w:pPr>
    <w:rPr>
      <w:snapToGrid/>
      <w:sz w:val="24"/>
      <w:szCs w:val="20"/>
      <w:lang w:eastAsia="en-US"/>
    </w:rPr>
  </w:style>
  <w:style w:type="paragraph" w:customStyle="1" w:styleId="13">
    <w:name w:val="图样式"/>
    <w:basedOn w:val="1"/>
    <w:qFormat/>
    <w:uiPriority w:val="0"/>
    <w:pPr>
      <w:keepNext/>
      <w:widowControl/>
      <w:spacing w:before="80" w:after="8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3038</Words>
  <Characters>4640</Characters>
  <Lines>0</Lines>
  <Paragraphs>0</Paragraphs>
  <TotalTime>0</TotalTime>
  <ScaleCrop>false</ScaleCrop>
  <LinksUpToDate>false</LinksUpToDate>
  <CharactersWithSpaces>4755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2026-05-07T13:58:00Z</dcterms:created>
  <dc:creator>乀</dc:creator>
  <cp:lastModifiedBy>乀</cp:lastModifiedBy>
  <dcterms:modified xsi:type="dcterms:W3CDTF">2026-05-13T08:55:18Z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FBCE2EBAB0F54761B6681116E9B3E729_11</vt:lpwstr>
  </property>
  <property fmtid="{D5CDD505-2E9C-101B-9397-08002B2CF9AE}" pid="4" name="KSOTemplateDocerSaveRecord">
    <vt:lpwstr>eyJoZGlkIjoiMjhlMzE1NjI3ZThmMDhmNDc5MWY5ODA0ZGEzMDFhZDEiLCJ1c2VySWQiOiIzNDMxNTE2NjMifQ==</vt:lpwstr>
  </property>
</Properties>
</file>