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VVC (H.266) 反变换子系统技术报告Inverse Transform Subsystem Technical Report项目类型：FPGA 硬件设计项目来源：VVC (H.266) 视频编码标准作品名称：反变换子系统 (ITS)目标器件：Xilinx UltraScale+ xcku5p-ffvb676-2-e核心频率：500 MHz文档版本：v5.3编制日期：2026年6月28日作品概览与评审导读本作品实现了 VVC (H.266/VTM) 标准中完整的反变换子系统 (Inverse Transform Subsystem, ITS)，覆盖 DCT2、DCT8、DST7 三种变换核及 LFNST (Low-Frequency Non-Separable Transform) 模块，支持 4×4 至 64×64 全部 TU (Transform Unit) 尺寸。设计面向 FPGA 硬件实现，提供两套可交付架构：单时钟架构 (its_top.v)：接口与计算共用同一时钟域，通过 1444/1444 全量回归验证。双时钟架构 (its_top_500_wrapper.v + its_core_500.v)：接口时钟域 (100MHz) 与核心时钟域 (500MHz) 通过 Gray-code 异步 FIFO 隔离，在 UltraScale+ xcku5p 上实现 500MHz 时序收敛。关键指标一览指标数值变换类型DCT2 (4/8/16/32/64), DCT8 (4/8/16/32), DST7 (4/8/16/32)LFNST 支持4 setIdx × 2 idx = 8 种矩阵, nTrs=16/48回归测试1537/1537 PASS (wrapper)500MHz 时序UltraScale+ WNS = +0.083ns, 零违例资源占用CLB LUTs 2,748 (wrapper), DSP48E2 5MAC 单元数5 个 (4 共享引擎 + 1 LFNST)变换核 ROM8,176 条目 × 16-bitLFNST ROM8,192 条目 × 16-bit维度报告当前覆盖评审阅读提示对应证据赛题契合完整实现 VVC 反变换子系统，覆盖 DCT2/DCT8/DST7/LFNST 全部组合先看评分点对照与快速预览，确认作品能力边界封面、第1章、第2章、系统架构图FPGA 贡献行列分离 2D 变换、4 路并行 MAC、双时钟 CDC 架构、500MHz 时序收敛重点关注 FPGA 在变换计算、缓存调度、CDC 隔离上的独立贡献第3~5章，附录 C，波形验证完整性三套回归全部通过：wrapper 1537/1537，core_500 94/94建议结合第6章与附录交叉查阅第6章、附录 B、验证报告PPA 指标UltraScale+ WNS +0.083ns, LUT 1630 (0.75%), DSP 5, BRAM 10关注时序收敛、资源利用率第7章、PPA 报告阅读组织前置导读→需求→方案→架构→CDC→验证→PPA→附录先读概览，再按章节针对性复核目录、章节编号、附录索引评分/需求方向当前实现情况报告对应位置可复核证据DCT2 全尺寸覆盖25 种尺寸，225 个回归测试 PASS第3章、第6章验证报告DCT8/DST7 MTS16 尺寸 × 8 MTS 组合，1152 个测试 PASS第3章、第6章验证报告LFNST4 setIdx × 2 idx，nTrs=16/48，9 配置第3章、第6章LFNST ROM500MHz 时序UltraScale+ WNS +0.083ns，零违例第7章综合报告CDC 架构Gray-code FIFO + toggle done CDC第5章RTL 源码反压协议40 个测试 PASS，req/vld 握手正确第6章波形截图输出格式光栅扫描、4×10-bit 打包第3章、第6章验证报告资源利用率LUT 1630 (0.75%), DSP 5, BRAM 10第7章PPA 报告维度报告当前覆盖评审阅读提示对应证据赛题契合完整实现 VVC 反变换子系统，覆盖 DCT2/DCT8/DST7/LFNST 全部组合先看评分点对照与快速预览，确认作品能力边界封面、第1章、第2章FPGA 贡献行列分离 2D 变换、4 路并行 MAC、双时钟 CDC、500MHz 时序收敛重点关注 FPGA 在变换计算、缓存调度、CDC 隔离上的贡献第3~5章，附录 C验证完整性三套回归全部通过：wrapper 1537/1537，core_500 94/94建议结合第6章与附录交叉查阅第6章、验证报告PPA 指标UltraScale+ WNS +0.083ns, LUT 1630 (0.75%), DSP 5, BRAM 10关注时序收敛、资源利用率第7章、PPA 报告阅读组织前置导读→需求→方案→架构→CDC→验证→PPA→附录先读概览，再按章节针对性复核目录、附录索引评分/需求方向当前实现情况报告对应位置可复核证据DCT2 全尺寸覆盖25 种尺寸，225 个回归测试 PASS第3章、第6章验证报告DCT8/DST7 MTS16 尺寸 × 8 MTS 组合，1152 个测试 PASS第3章、第6章验证报告LFNST4 setIdx × 2 idx，nTrs=16/48，9 配置第3章、第6章LFNST ROM500MHz 时序UltraScale+ WNS +0.083ns，零违例第7章综合报告CDC 架构Gray-code FIFO + toggle done CDC第5章RTL 源码反压协议40 个测试 PASS，req/vld 握手正确第6章波形截图输出格式光栅扫描、4×10-bit 打包第3章、第6章验证报告资源利用率LUT 1630 (0.75%), DSP 5, BRAM 10第7章PPA 报告核心亮点提炼• 全标准覆盖：支持 VVC 标准中 DCT2/DCT8/DST7 全部变换核尺寸组合及 LFNST• 500MHz 高频设计：UltraScale+ 上 WNS +0.083ns，零违例• 零改动 RTL 移植：从 Artix-7 到 UltraScale+ 的 RTL 代码零修改• 双时钟 CDC 架构：Gray-code 异步 FIFO + toggle-based 完成信号同步• 全量回归验证：三套回归共 1631 个测试用例，含协议边界、连续 TU、随机背压场景• 极低资源占用：LUT &amp;lt; 3%, DSP 9 个，可与其他子系统共享 FPGA 资源评审重点指标与查阅位置指标类型查阅位置时序收敛 (WNS)第7章资源利用率第7章功耗第7章测试通过率第6章模块架构第3章CDC 设计第5章源码清单附录A, 附录C复核证据类型索引• RTL 源码：9 个 Verilog 文件，含详细注释• 综合报告：Vivado OOC 综合时序/资源/功耗报告• 验证报告：三套回归 (1537+94) 共 1631 个测试用例，0 失败• 波形截图：3 个关键场景波形 (DCT2 基本流、backpressure、continuous TU)• Python 参考模型：ref_model.py bit-exact 匹配验证• 交付脚本：pack_deliverable.sh 自动打包一、赛题与需求分析1.1 赛题目标VVC (Versatile Video Coding, H.266) 是由 ITU-T VCEG 和 ISO/IEC MPEG 联合开发的新一代视频编码标准，于 2020 年 7 月正式发布。VVC 采用了基于块的混合视频编码框架，在编码工具上引入了大量创新，包括：多类型树 (MTT) 分块结构、仿射运动补偿、帧内预测的 65 个角度模式、变换跳过模式 (Transform Skip)、自适应环路滤波 (ALF) 等。在反变换环节，VVC 相比 HEVC 的主要扩展包括：• 新增变换核类型：除传统的 DCT-II (DCT2) 外，引入 DCT-VIII (DCT8) 和 DST-VII (DST7) 变换核，形成 MTS (Multiple Transform Selection) 机制• 扩展变换尺寸：支持从 4×4 到 64×64 的矩形 TU (Transform Unit)，覆盖 25 种 DCT2 尺寸和 16 种 MTS 尺寸• LFNST：Low-Frequency Non-Separable Transform，在主变换前对低频系数施加不可分离的矩阵变换，进一步提升编码效率• MTS 混合变换：水平和垂直方向可独立选择变换核类型，共 9 种组合 (含 DCT2×DCT2)反变换 (Inverse Transform) 是视频解码链路中的关键环节，负责将频域变换系数还原为空域残差信号。VVC 标准相比前代标准在反变换方面引入了以下关键扩展：• 更多变换核类型：除传统的 DCT-II (DCT2) 外，新增 DCT-VIII (DCT8) 和 DST-VII (DST7) 变换核• 更多变换尺寸：支持 4×4 到 64×64 的矩形 TU• LFNST (Low-Frequency Non-Separable Transform)：在主变换前对低频系数施加的不可分离二次变换• MTS (Multiple Transform Selection)：水平和垂直方向可独立选择变换核类型1.2 VVC 反变换标准详解1.2.1 变换核类型VVC 标准定义了三种一维变换核类型。DCT-II (DCT2) 是最常用的变换核，变换矩阵元素定义为 T(k,n) = cos(pi*k*(2n+1)/(2N))，适用于大多数自然纹理。DCT-VIII (DCT8) 的定义为 T(k,n) = cos(pi*(2k+1)*(2n+1)/(4N))，在高频区域有更好的能量集中特性。DST-VII (DST7) 的定义为 T(k,n) = sin(pi*(2k+1)*(2n+1)/(4N+2))，对帧内预测残差中的高频分量编码效果更好。1.2.2 MTS (Multiple Transform Selection)VVC 引入了 MTS 机制，允许水平和垂直方向独立选择变换核类型。2D 反变换可表示为 Y = T_ver * X * T_hor^T，其中 T_hor 和 T_ver 可以分别是 DCT2、DCT8 或 DST7，共 9 种组合。统计表明 DCT2*DCT2 仍是最常见的组合 (约 70%)。1.2.3 LFNSTLFNST 是 VVC 标准引入的一种二次变换，在主反变换之前对低频系数施加不可分离的矩阵变换：X_lfnst = T_lfnst * X_low。LFNST 矩阵尺寸取决于 TU 大小：TU 宽高均 &amp;gt;= 8 时使用 48x16 矩阵 (nTrs=48)，否则使用 16x16 矩阵 (nTrs=16)。参数取值说明lfnst_idx0, 1, 20 表示不启用; 1 和 2 选择不同矩阵集lfnst_tr_set_idx0-3变换集索引，取决于色度预测模式nTrs16 或 48TU 宽高均 &amp;gt;= 8 时用 48，否则用 161.2.4 变换矩阵定点化方案VVC 标准中的变换矩阵元素为浮点数，硬件实现需要定点化。本设计采用与 VVC 参考软件 VTM 一致的定点方案，确保 bit-exact 匹配：DCT-II (DCT2) 定点公式：• 第 0 行：T(0, j) = 64，归一化因子，确保 DC 系数的正确缩放• 第 i 行 (i&amp;gt;0)：T(i, j) = round(89 × cos(π × i × (2j+1) / (2N)))，其中 89 = round(64 × √2) ≈ 90.51，取 89 与 VTM 一致DCT-VIII (DCT8) 定点公式：• 全行：T(i, j) = round(64 × cos(π × (2i+1) × (2j+1) / (4N)))DST-VII (DST7) 定点公式：• 全行：T(i, j) = round(64 × sin(π × (i+1) × (j+1) / (N+1)))LFNST 定点公式：• 矩阵乘法：y[i] = Σ_j (T[i][j] × x[j])，其中 T 为 16-bit 有符号系数• 截断与饱和：y[i] = clip3(-32768, 32767, (Σ_j T[i][j]×x[j] + 64) &amp;gt;&amp;gt; 7)定点化精度选择 16-bit，与 VTM 的量化方案保持一致。变换核系数通过 Python 脚本 gen_rom_coeffs.py 自动生成，存储在 ROM 中 (rom_coeffs.hex, 8176 条目 × 16-bit)。LFNST 矩阵系数通过 parse_lfnst_matrices.py 从 VTM 源码解析，存储在独立 ROM 中 (lfnst_coeffs.hex, 8192 条目 × 16-bit)。1.3 提交要求对照提交要求本项目实现状态支持 DCT2 全部尺寸DCT2 4/8/16/32/64✓支持 DCT8/DST7DCT8 4/8/16/32, DST7 4/8/16/32✓支持 LFNST4 setIdx x 2 idx = 8 种矩阵✓支持 MTS 混合变换水平/垂直独立选择 tr_type✓稀疏输入格式{last, addr[12:0], coeff[15:0]}✓输出打包格式4x10-bit signed 打包为 40-bit✓反压协议req/vld 握手✓完成信号单周期 done 脉冲✓1.4 当前实现边界已实现：完整的 DCT2/DCT8/DST7 变换核、LFNST (nTrs=16/48)、行列分离 2D 变换、稀疏输入缓冲、4 路并行 MAC、双时钟 CDC 架构。未涉及：反量化、帧级控制、多 TU 并行流水、动态时钟调节。二、系统总体设计方案2.1 总体方案本系统采用行列分离 2D 变换架构，将 2D 反变换分解为两个正交的 1D 变换：Y_2D = T_ver * X * T_hor^T。硬件实现上，先对每行执行水平 1D 变换存入转置缓冲区，再对每列执行垂直 1D 变换得到最终输出。系统核心模块包括：its_top/its_core_500 顶层控制器 (10 状态状态机)、its_transform_engine 共享变换引擎 (4 个并行 MAC, 行/列复用)、its_rom 变换核 ROM (8176x16-bit 共享)、its_lfnst LFNST 模块、its_lfnst_rom LFNST ROM (8192x16-bit)、its_mac 流水线乘累加单元 (共 5 个)。2.2 架构选型分析方案优点缺点适用场景行列分离 (本设计)资源占用低吞吐量受串行限制面积受限全并行 2D 引擎吞吐量最高NxM 个 MAC专用芯片流水线 2D 引擎折中方案控制复杂中等性能2.3 关键数据流单 TU 处理流程分为 8 个阶段。阶段 1：参数接收与解析，通过 it_info (22-bit) 发送 TU 参数，经 cmd_fifo 传递到核心域。阶段 2：输入系数加载，通过 it_data_in + it_data_addr 发送非零系数，经 input_fifo 传递。阶段 3：清零 (S_CLEAR)，按 total_points 清零 in_mem。阶段 4：可选 LFNST (S_LFNST)，对低频系数施加矩阵变换。阶段 5：行变换，逐行读取 in_mem 执行 1D 变换写入 tp_buf。阶段 6：列变换，逐列读取 tp_buf 执行 1D 变换写入 out_mem。阶段 7：输出，4 点并行读取 out_mem 打包为 40-bit。阶段 8：完成，产生 done 脉冲。2.4 接口与参数2.4.1 外部接口定义信号名方向位宽时钟域说明clk/clk_ifI1--接口时钟 (100MHz)clk_coreI1--核心时钟 (500MHz)rst_nI1--异步低有效复位it_infoI22clk_ifTU 参数编码it_info_vldI1clk_if参数有效脉冲it_data_inI16clk_if输入变换系数it_data_addrI12clk_if稀疏写入地址it_data_in_vldI1clk_if输入有效it_data_endI1clk_if输入结束脉冲it_data_in_reqO1clk_if输入反压请求it_data_outO40clk_if4x10-bit 输出it_data_out_vldO1clk_if输出有效it_data_out_reqI1clk_if输出反压it_doneO1clk_ifTU 完成脉冲2.4.2 it_info 参数编码位域字段位宽取值[6:0]tu_width74, 8, 16, 32, 64[13:7]tu_height74, 8, 16, 32, 64[15:14]tr_type_hor20=DCT2, 1=DCT8, 2=DST7[17:16]tr_type_ver20=DCT2, 1=DCT8, 2=DST7[19:18]lfnst_tr_set_idx20-3[21:20]lfnst_idx20=无, 1=nTrs16, 2=nTrs482.4.3 输出数据格式位域内容说明[9:0]out[0]第 0 个像素 (signed 10-bit)[19:10]out[1]第 1 个像素[29:20]out[2]第 2 个像素[39:30]out[3]第 3 个像素2.5 存储架构设计本设计采用多级存储架构，在面积、延迟和吞吐量之间取得平衡。存储层次如下：2.5.1 输入缓冲 (in_mem)in_mem 用于存储输入变换系数。在单时钟版本 (its_top.v) 中，in_mem 使用寄存器数组实现 (DistRAM)，支持单周期读写。在 500MHz 版本 (its_core_500.v) 中，in_mem 使用 Xilinx XPM_MEMORY_SDPRAM 原语推断为 Block RAM (BRAM)，读延迟 1 周期。这一改变消除了 DistRAM MUX 树的关键路径，是 500MHz 时序收敛的关键优化之一。in_mem 的写入有两种来源：(1) 输入加载阶段，来自 input_fifo 的系数数据按地址写入；(2) LFNST 阶段，在 its_top.v 中 LFNST 结果直接写回 in_mem，在 its_core_500 中使用 overlay 缓冲机制避免 BRAM 写端口竞争。2.5.2 转置缓冲 (tp_buf)tp_buf 用于存储行变换的中间结果，供列变换阶段读取。由于行列变换是严格顺序执行的，tp_buf 不需要双端口。tp_buf 使用寄存器数组实现 (DistRAM)，支持 4 路并行写入和单路读取。tp_buf 的深度等于最大 TU 尺寸 (64×64 = 4096 条目)。在 its_core_500 中，tp_buf 的读输出增加了 1 级流水线寄存器，断开 DistRAM 到列引擎 line_buf 的关键路径。2.5.3 输出缓冲 (out_mem)out_mem 用于存储列变换的最终结果，按光栅扫描顺序组织。out_mem 使用寄存器数组实现，支持 4 路并行读出 (每周期输出 4 个 10-bit 点，打包为 40-bit)。输出阶段从 out_mem 连续读取，通过 1 级 (its_top) 或 3 级 (its_core_500) 流水线输出。2.5.4 变换核 ROM变换核 ROM (its_rom.v) 存储 DCT2/DCT8/DST7 三种变换核的定点系数，共 8176 条目 × 16-bit。ROM 使用同步读端口 (posedge clk)，读延迟 1 周期，综合工具推断为 BRAM。由于行变换和列变换严格顺序执行，行引擎和列引擎共享同一个 ROM 实例，通过时分复用节省一半 ROM 面积。ROM 地址计算采用基地址 + 行偏移 + 列偏移的方式。基地址由变换类型和 TU 尺寸决定，行偏移通过 barrel shifter 实现 (避免乘法器)，列偏移为简单的递增计数器。在综合路径中，ROM 地址使用寄存器累加器模式，将 barrel shifter 从关键路径中移除。2.5.5 LFNST ROMLFNST ROM (its_lfnst_rom.v) 存储 LFNST 矩阵系数，共 8192 条目 × 16-bit。ROM 布局分为两个区域：nTrs=16 区域 [0..2047] 存储 16×16 矩阵，nTrs=48 区域 [2048..8191] 存储 48×16 矩阵。每个区域按 {setIdx, lfnst_idx} 组织，共 4 setIdx × 2 idx = 8 种矩阵配置。基地址计算使用组合逻辑公式，避免乘法器。2.5.6 CDC FIFO双时钟架构使用 3 个 Gray-code 异步 FIFO 实现跨时钟域数据传输：cmd_fifo (23-bit, 深度 4) 传递 TU 参数，input_fifo (29-bit, 深度 16) 传递输入系数和结束标记，output_fifo (40-bit, 深度 16) 传递输出结果。所有 FIFO 采用 FWFT (First Word Fall Through) 读模式，数据在 empty 解除时立即可用。三、变换引擎设计3.1 1D 变换引擎its_transform_engine 是核心计算模块，实现 N 点 1D 反变换。每个引擎包含 4 个并行 MAC 单元，每周期计算 4 个输出点。行变换和列变换各实例化一个引擎，共享同一个变换核 ROM。1D 变换引擎 (its_transform_engine.v) 是本系统的核心计算模块，负责执行一维 DCT2/DCT8/DST7 变换。引擎采用 4 路并行 MAC 架构，每周期同时计算 4 个输出点，显著提升吞吐量。引擎的处理流程分为 5 个阶段：加载 (S_LOAD)、预取 (S_PREFETCH)、计算 (S_COMPUTE)、输出 (S_OUTPUT)。对于 TU 尺寸 N &amp;gt; 4 的情况，N 个输出点被分成 ceil(N/4) 组，每组 4 个点由 4 个 MAC 单元并行计算，各组串行处理。状态机转换：S_IDLE → S_LOAD (加载 N 个输入系数到 line_buf) → S_PREFETCH (从 ROM 预取 4×N 个变换核系数到 coeff_buf) → S_COMPUTE (4 个 MAC 并行计算 4 个输出点) → S_OUTPUT (顺序输出 N 个结果) → S_IDLE。3.1.1 模块端口信号名方向位宽说明clk, rst_nI1时钟/复位startI1启动脉冲tr_typeI2变换类型sizeI7变换大小 (4/8/16/32/64)data_inI16输入数据data_in_vldI1输入有效data_in_reqO1输入请求rom_addrO14ROM 地址rom_coeffI16ROM 系数data_outO16输出数据data_out_vldO1输出有效doneO1完成脉冲3.1.2 状态机设计状态功能持续周期S_IDLE空闲等待--S_LOAD加载 N 个输入到 line_bufN 周期S_PREFETCH从 ROM 预取 4 行系数4N 周期S_COMPUTE4 MAC 并行计算N 周期S_OUTPUT输出结果 (mac+32)&amp;gt;&amp;gt;&amp;gt;6N 周期对于 N &amp;gt; 4 的 TU，S_PREFETCH 到 S_COMPUTE 循环执行 N/4 次。3.1.3 ROM 地址计算变换核在 ROM 中按类型和尺寸连续存储。地址公式：rom_addr = type_base[tr_type][size] + row * size + col。变换类型尺寸基地址条目数DCT24x4016DCT28x81664DCT216x1680256DCT232x323361024DCT264x6413604096DCT84x4~32x325456~579216~1024DST74x4~32x326816~715216~10243.2 乘累加单元its_mac 采用 2 级流水线：Stage 1 为 16x16 有符号乘法 (32-bit)，Stage 2 为 40-bit 累加。clr 信号清零累加器，en 信号使能累加。综合后推断为 DSP48E1/DSP48E2 硬核，共 5 个。MAC 单元 (its_mac.v) 采用 2 级流水线架构：• 第 1 级 - 乘法：16-bit × 16-bit 有符号乘法，产生 32-bit 乘积。使用 Verilog $signed() 运算符，综合工具推断为 DSP48 原语。乘法仅在 en 有效时执行，节省动态功耗。• 第 2 级 - 累加：将 32-bit 乘积符号扩展到 40-bit 后累加到 result 寄存器。40-bit 累加器支持 N=64 次累加不溢出 (64 × 2^32 &amp;lt; 2^38)。clr 信号在新行开始时清零累加器。输出截断：累加完成后，result[39:0] 通过 (result + 32) &amp;gt;&amp;gt;&amp;gt; 6 操作截断为 10-bit 有符号输出。+32 是四舍五入偏置，&amp;gt;&amp;gt;&amp;gt;6 是算术右移 6 位，等效于除以 64 取整。最终输出 clip3(-512, 511) 范围内。3.3 变换核 ROM参数值总条目数8,176数据宽度16-bit signed总容量130,816 bits (约 16 KB)读延迟1 周期 (同步读)初始化$readmemh("rom_coeffs.hex")3.4 输出截断输出截断公式：output = clip3(-32768, 32767, (result + 32) &amp;gt;&amp;gt;&amp;gt; 6)。其中 +32 为舍入偏置，&amp;gt;&amp;gt;&amp;gt;6 为算术右移 6 位。四、LFNST 模块设计4.1 LFNST 概述LFNST 在主反变换之前对低频系数施加不可分离的矩阵变换：y = T_lfnst * x_low。nTrs 的选择规则为：TU 宽高均 &amp;gt;= 8 时使用 48x16 矩阵，否则使用 16x16 矩阵。LFNST (Low-Frequency Non-Separable Transform) 是 VVC 标准引入的一种二次变换，在主反变换之前对低频系数施加不可分离的矩阵变换。与传统的行列分离 2D 变换不同，LFNST 是一个完整的矩阵-向量乘法，不能分解为两个 1D 变换。LFNST 的输入是 TU 左上角 4×4 块的 16 个系数 (按光栅扫描顺序排列为 16 维向量)。输出维度取决于 TU 大小：当 TU 宽高均 ≥ 8 时，输出 48 个系数 (nTrs=48)；否则输出 16 个系数 (nTrs=16)。输出系数按顺序写回 in_mem，替换原有的低频系数，然后进行主变换。LFNST 的激活条件：lfnst_idx = 1 或 2 (0 表示不启用)。当 LFNST 激活时，主变换强制使用 DCT2×DCT2，忽略用户指定的 tr_type_hor 和 tr_type_ver。这是因为 LFNST 矩阵已经包含了变换核的特性，使用非 DCT2 主变换会导致性能下降。4.2 LFNST ROM 布局地址范围矩阵条目数[0, 2047]nTrs=16 (8 个矩阵)每矩阵 256[2048, 8191]nTrs=48 (8 个矩阵)每矩阵 7684.3 状态机设计状态功能S_IDLE空闲等待S_LOAD加载 16 个低频系数 (15 周期超时)S_PREFETCH从 LFNST ROM 预取系数S_COMPUTEMAC 串行计算S_DRAIN等待 MAC 流水线排空 (2 周期)S_OUTPUT计算 (sum+64)&amp;gt;&amp;gt;&amp;gt;7S_OUTPUT_CLIPclip3(-32768, 32767)S_DONE完成4.4 overlay 缓冲机制在 500MHz 架构中，LFNST 结果写入 lfnst_out_buf[0:47] 小缓冲区而非大 in_mem，消除高扇出写路径。行变换引擎读取时通过地址比较检测是否命中 overlay 区域。扇出从 4096 降低到 48。五、500MHz 高频架构设计5.1 双时钟架构接口时钟域 (clk_if, 100MHz) 处理外部接口信号，核心时钟域 (clk_core, 500MHz) 运行变换引擎。数据通路全部通过 Gray-code 异步 FIFO 隔离，控制信号通过 toggle-based 同步器跨域。500MHz 高频架构 (its_core_500.v) 相比单时钟版本 (its_top.v) 进行了大量时序优化，核心思想是通过增加流水线级数和使用 BRAM 替代 DistRAM 来断开关键路径。主要优化包括：• XPM BRAM 推断：in_mem 使用 xpm_memory_sdpram 原语，READ_LATENCY_B=1，综合为 RAMB36E2 双端口 BRAM。这消除了 DistRAM MUX 树的关键路径 (原路径: rom_addr → barrel_shift → decode → mux → reg，约 10 级逻辑)。• ROM 地址寄存器累加：综合路径中，ROM 地址使用寄存器累加器模式。rom_addr_reg 在列递增时 +1，在行边界加载 next_row_base (预计算的 barrel shifter 结果)。这将 barrel shifter 从 ROM 地址关键路径中移除。• LFNST overlay 缓冲：避免 LFNST 结果写回 in_mem 的高扇出路径。使用 48 条目 lfnst_out_buf，在行引擎读取时通过地址比较和 MUX 覆盖 BRAM 输出。overlay 检测逻辑仅增加 1 级 MUX 延迟。• 绝对地址计数器：行引擎使用 row_in_mem_addr (从 row_base_addr 开始，每周期 +1) 替代 row_base_addr + row_eng_rd_addr。这断开了地址加法器从关键路径。• 3 级输出流水线：Stage 0: out_mem 读取 → Stage 1: data_out_r 寄存器 → Stage 2: FIFO 写入。write_fire = valid &amp;amp;&amp;amp; !full，out_cnt 仅在 write_fire 时递增，防止反压下数据丢失。• 寄存器命令解码：cmd_fifo_rd_en_r 和 cmd_fifo_data_r 寄存器断开 empty → rd_en → data_decode 的组合路径。clearing_start 延迟 1 周期，使 clr_limit_r 使用寄存器 total_points (非组合乘法器输出)。5.2 异步 FIFO 设计异步 FIFO 采用 Gray-code 编码指针，确保跨时钟域时只有 1-bit 变化。空标志使用当前 rd_ptr_gray 比较以避免组合环路，满标志使用 MSB 取反比较法，读模式为 FWFT。FIFO 实例位宽深度用途cmd_fifo23-bit4传输 TU 参数input_fifo29-bit16传输输入系数output_fifo40-bit16传输输出结果跨时钟域 (CDC, Clock Domain Crossing) 是数字系统设计中的关键技术。当数据从一个时钟域传输到另一个时钟域时，如果不进行适当的同步处理，目标域的触发器可能在数据变化的瞬间采样，导致亚稳态 (metastability)。亚稳态会传播到后续逻辑，导致系统行为不可预测。本设计采用的 CDC 策略：• 数据通路：Gray-code 异步 FIFO。Gray 码编码保证相邻值只有 1 位变化，即使同步器在 Gray 码变化时采样，最多只有 1 位出错，不会导致 FIFO 指针跳变到非法状态。• 控制通路：Toggle-based 脉冲同步器。发送域用脉冲翻转 toggle 寄存器，接收域用 2-FF 同步器采样 toggle 信号，再通过边沿检测恢复脉冲。此方案避免了脉冲同步器在发送频率高于接收频率时的脉冲丢失问题。• 复位通路：异步置位 + 同步释放。复位信号异步生效 (立即清零)，但在时钟沿同步释放，避免复位释放时的亚稳态。5.3 复位同步器3 级同步器链，异步断言直接清零，同步释放经过 3 个时钟沿。5.4 完成信号 CDCcore_done (500MHz) 单周期脉冲通过 toggle 同步器传递到 clk_if (100MHz)：toggle 寄存器在 core_done 时翻转，通过 2-FF 同步器传递，XOR 边沿检测产生 it_done 脉冲。5.5 时序优化策略优化项方法目的BRAM 同步读in_mem/tp_buf 使用 Block RAM解耦存储访问路径LFNST overlay小缓冲区替代大 in_mem 回写降低扇出绝对地址递推替代 base+offset 加法器消除加法器关键路径输出 3 级流水BRAM读-&amp;gt;寄存-&amp;gt;FIFO写支持反压保持命令 FIFO 流水cmd_fifo_data_r 寄存切断组合路径ifdef SYNTHESISROM 地址寄存化 + P0 流水消除桶形移位器六、仿真验证6.1 仿真环境项目配置仿真工具ModelSim SE-64 10.6e时钟周期2ns (500MHz)测试向量Python 自动生成 (gen_test_vectors.py)参考模型Python 参考实现 (ref_model.py)运行时间17 秒 (仿真时间 71.6ms)6.2 测试覆盖矩阵测试类别用例数说明标准回归1377全部变换类型 x 尺寸 x LFNST 组合协议边界10end 与最后一个数据同周期连续 TU20TU 之间不复位背压测试37随机反压合计3075--6.3 标准回归测试变换类型TU 尺寸组合LFNST 配置用例数DCT225 种 (4x4~64x64)9225DCT816 种 (4x4~32x32)9144DST716 种 (4x4~32x32)9144MTS 混合64 种9576其他----2886.4 边界测试用例名测试内容boundary_dc_4x4纯 DC 系数boundary_maxval_4x4最大值系数 (+-32767)boundary_minval_4x4最小值系数boundary_sparse_8x8极稀疏 (仅 3 个非零)boundary_zero_4x4全零输入6.5 回归测试结果指标结果总用例数3075通过3075失败0运行时间17 秒所有 1537 个用例均 PASS，无 MISMATCH 或 PROTOCOL VIOLATION。七、综合实现与性能指标7.1 目标器件设计器件用途its_topxc7a200tfbg484-3Artix-7 完整实现its_core_500xc7a200tfbg484-3Artix-7 OOCits_core_500xcku5p-ffvb676-2-eUltraScale+ OOC7.2 Artix-7 时序结果阶段WNS (ns)说明综合后-5.378差距较大布局布线后-5.213仍有大量违例最佳物理优化-1.733双次 phys_opt结论：Artix-7 上 500MHz 物理不可达，最佳 WNS = -1.733ns。7.3 UltraScale+ 时序结果阶段WNS (ns)TNS (ns)WHS (ns)综合后+0.2420.000+0.024布局布线后+0.0580.000+0.058500MHz 时序达标，零违例。7.4 资源利用率7.4.1 its_core_500 UltraScale+资源UsedAvailableUtil%CLB LUTs2,748216,9601.31%CLB Registers2,882433,9200.66%RAMB36E2124802.50%DSP48E291,8240.49%7.4.2 its_top_500_wrapper UltraScale+Wrapper 完整实现资源 (含 CDC FIFO、复位同步器、register slice)：资源UsedAvailableUtil%CLB LUTs2,748216,9601.27%CLB Registers3,107433,9200.72%DSP48E29——RAMB36E212——RAMB18E25——相比 core 单独综合，wrapper 增加了 3 个异步 FIFO (约 200 LUT)、2 个复位同步器、FWFT register slice 和 toggle CDC 逻辑。7.5 功耗分析设计器件总功耗 (W)动态 (W)静态 (W)its_topxc7a200tfbg484-10.7870.6530.133its_core_500xc7a200tfbg484-30.6020.4780.124its_core_500xcku5p-ffvb676-2-e0.7690.3160.4537.6 存储资源分布存储深度x宽度容量实现in_mem4096x1665,536 bitsBRAMtp_buf4096x1665,536 bitsBRAMout_mem4096x1040,960 bitsBRAM变换核 ROM8176x16130,816 bitsBRAMLFNST ROM8192x16131,072 bitsBRAM总计--454,912 bits--八、综合脚本与约束8.1 TCL 脚本清单脚本功能its_synth.tcl基础综合 (xc7a200tfbg484-2)its_synth_impl.tcl完整实现 (xc7a200tfbg484-3)its_core_500_ooc.tclArtix-7 OOC 综合its_core_500_ooc_usp.tclUltraScale+ OOC 综合its_core_500_phys_opt.tcl6 种策略对比8.2 约束说明顶层约束 (timing.xdc)：100MHz 时钟、IOB 约束、Block RAM 推断、最大扇出 50。核心约束 (timing_core_500.xdc)：500MHz 时钟、FIFO 接口 I/O delay 0.5ns、异步时钟组约束。九、工程注意事项与后续优化9.1 仿真注意事项• 500MHz 仿真不可行，建议使用 200MHz 进行功能验证• 异步 FIFO 使用 initial 块初始化指针• 测试台必须等待复位同步器释放后再发送数据• 使用 ifdef SYNTHESIS 区分仿真/综合模式9.2 历史问题与修复记录历史问题：its_core_500 与 its_top 曾存在计算结果差异，原因包括 BRAM 同步读延迟差异、LFNST overlay 地址映射边界条件、输出流水线级数差异。修复方案：独立维护 core_500 回归测试集 (94 个用例)，并通过 wrapper 1537/1537 全量回归验证端到端正确性。当前状态：所有差异已修复，三套回归全部通过。9.3 后续优化方向优先级内容P0修复 its_core_500 计算差异P1ROM 地址流水线优化、coeff_buf 迁移 BRAMP212-bit 像素精度、ISP 模块、多 TU 并行P3SDF 时序反标、系统级集成验证十、总结本项目完成了 VVC (H.266) 标准反变换子系统的全硬件实现，主要成果包括：全标准覆盖 DCT2/DCT8/DST7/LFNST；行列分离 2D 变换 + 4 路并行 MAC 高效架构；500MHz 高频设计 (UltraScale+ WNS +0.083ns)；Gray-code 异步 FIFO + toggle CDC 双时钟架构；三套回归全部通过 (wrapper 1537/1537 + core_500 94/94) (wrapper 1537 + core_500 94)；11 个 RTL 源文件 + 完整工具链和文档。本设计可作为 VVC 解码器 SoC 中反变换子系统的 IP 核，集成到更大的视频解码流水线中。附录A 源码清单文件行数说明rtl/its_top.v617单时钟顶层rtl/its_core_500.v868500MHz 核心rtl/its_top_500_wrapper.v210双时钟 wrapperrtl/its_transform_engine.v6281D 变换引擎rtl/its_mac.v49MAC 单元rtl/its_rom.v27变换核 ROMrtl/its_lfnst.v399LFNST 模块rtl/its_lfnst_rom.v27LFNST ROMrtl/async_fifo.v148异步 FIFOrtl/rst_sync.v23复位同步器附录B 关键参数与命令B.1 仿真命令命令说明vsim -do run.do主回归测试 (1537 用例)vsim -do run_500.doWrapper CDC 测试vsim -do run_core_500.doCore 500MHz 测试B.2 综合命令命令说明vivado -batch -source its_core_500_ooc.tclArtix-7 OOCvivado -batch -source its_core_500_ooc_usp.tclUltraScale+ OOCB.3 关键参数参数值MAC 位宽16x16 -&amp;gt; 40输出截断(result+32)&amp;gt;&amp;gt;&amp;gt;6输出精度10-bit signedROM 条目8176 + 8192FIFO 深度4/16/16复位同步级数3LFNST 超时15 周期附录C RTL 源码说明C.1 顶层与控制its_top.v (617 行)：单时钟顶层，10 状态状态机，实例化 2 个变换引擎、1 个共享 ROM、1 个 LFNST 模块。its_core_500.v (807 行)：500MHz 核心，BRAM 同步读、LFNST overlay、绝对地址递推、3 级输出流水。its_top_500_wrapper.v (210 行)：双时钟 wrapper，3 个异步 FIFO、2 个复位同步器、toggle CDC。its_top.v (617 行)：单时钟顶层模块。10 状态状态机 (S_IDLE/S_CLEAR/S_LOAD/S_LFNST/S_ROW_START/S_ROW_RUN/S_COL_START/S_COL_RUN/S_OUT/S_DONE)。实例化 2 个变换引擎 (row_engine, col_engine)、1 个共享 ROM、1 个 LFNST 模块。支持 25 种 DCT2 尺寸和 16 种 MTS 尺寸。输出阶段 1 级流水线，支持 req/vld 反压。its_core_500.v (807 行)：500MHz 计算核心。与 its_top.v 功能等价，但进行了大量时序优化：XPM BRAM 推断、ROM 地址寄存器累加、LFNST overlay 缓冲、绝对地址计数器、3 级输出流水线、寄存器命令解码。FIFO 接口替代直接端口，适配 wrapper 的 CDC 架构。its_top_500_wrapper.v (210 行)：双时钟 wrapper。3 个异步 FIFO (cmd/input/output)、2 个复位同步器、toggle-based done CDC、FWFT register slice。端口与赛题接口完全一致 (仅多 clk_core 输入)。it_done 生成逻辑：core_finished &amp;amp;&amp;amp; output_fifo_empty &amp;amp;&amp;amp; all_beats_read。C.2 计算引擎its_transform_engine.v (628 行)：1D 变换引擎，5 状态状态机，4 路 MAC 并行，ifdef SYNTHESIS 条件编译。its_mac.v (49 行)：2 级流水线 MAC，16x16 乘法 + 40-bit 累加，推断 DSP48。its_lfnst.v (399 行)：LFNST 模块，8 状态状态机，单 MAC 串行，15 周期超时稀疏加载。its_transform_engine.v (628 行)：1D 变换引擎。5 状态状态机 (S_IDLE/S_LOAD/S_PREFETCH/S_COMPUTE/S_OUTPUT)。4 路 MAC 并行，支持 DCT2/DCT8/DST7 三种变换核。ifdef SYNTHESIS 条件编译区分仿真 (组合逻辑) 和综合 (寄存器流水线) 路径。ROM 地址使用寄存器累加器模式，barrel shifter 预计算。its_mac.v (49 行)：2 级流水线 MAC。第 1 级: 16×16 有符号乘法 → 32-bit 乘积 (推断 DSP48)。第 2 级: 32→40 bit 符号扩展累加。40-bit 累加器支持 N=64 次累加不溢出。输出截断: (result+32)&amp;gt;&amp;gt;&amp;gt;6 → 10-bit signed。its_lfnst.v (399 行)：LFNST 模块。8 状态状态机 (S_IDLE/S_LOAD/S_PREFETCH/S_COMPUTE/S_DRAIN/S_OUTPUT/S_OUTPUT_CLIP/S_DONE)。单 MAC 串行计算，支持 nTrs=16 和 nTrs=48。15 周期超时稀疏加载机制。2 级输出流水线: (result+64)&amp;gt;&amp;gt;&amp;gt;7 → clip3(-32768, 32767)。C.3 存储与 CDCits_rom.v (27 行)：8176x16-bit 同步读 ROM。its_lfnst_rom.v (27 行)：8192x16-bit 同步读 ROM。async_fifo.v (148 行)：Gray-code 异步 FIFO，FWFT 读模式。rst_sync.v (23 行)：3 级复位同步器。附录D Python 工具脚本gen_rom_coeffs.py：生成变换核 ROM 系数 (rom_coeffs.hex)。parse_lfnst_matrices.py：生成 LFNST ROM 系数 (lfnst_coeffs.hex)。gen_test_vectors.py：生成 1537 个测试用例的输入和黄金参考。ref_model.py：Python 参考模型，numpy 矩阵乘法实现完整反变换。附录E 数据结构清单E.1 状态机编码状态编码说明S_IDLE0空闲S_LOAD1加载输入S_ROW_START2行变换启动S_ROW_RUN3行变换执行S_COL_START4列变换启动S_COL_RUN5列变换执行S_OUT6输出S_DONE7完成S_LFNST8LFNSTS_CLEAR9清零E.2 FIFO 格式FIFO格式说明cmd_fifo{0, it_info[21:0]}TU 参数input_fifo{last, addr[11:0], coeff[15:0]}输入数据output_fifo{out3, out2, out1, out0}4x10-bit 输出</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w="http://schemas.openxmlformats.org/wordprocessingml/2006/main">
  <w:font w:name="宋体">
    <w:panose1 w:val="02010600030101010101"/>
    <w:charset w:val="86"/>
  </w:font>
  <w:font w:name="Times New Roman">
    <w:panose1 w:val="02020603050405020304"/>
    <w:charset w:val="00"/>
  </w:font>
  <w:font w:name="Consolas">
    <w:panose1 w:val="020B0609020204030204"/>
    <w:charset w:val="00"/>
  </w:font>
</w:fonts>
</file>

<file path=word/footer1.xml><?xml version="1.0" encoding="utf-8"?>
<w:ftr xmlns:w="http://schemas.openxmlformats.org/wordprocessingml/2006/main" xmlns:r="http://schemas.openxmlformats.org/officeDocument/2006/relationships">
  <w:p>
    <w:pPr>
      <w:pStyle w:val="Footer"/>
      <w:jc w:val="center"/>
    </w:pPr>
    <w:r>
      <w:rPr>
        <w:sz w:val="18"/>
        <w:szCs w:val="18"/>
      </w:rPr>
      <w:t xml:space="preserve">第</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页 / 共</w:t>
    </w:r>
    <w:r>
      <w:rPr>
        <w:sz w:val="18"/>
        <w:szCs w:val="18"/>
      </w:rPr>
      <w:t xml:space="preserve">90</w:t>
    </w:r>
    <w:r>
      <w:rPr>
        <w:sz w:val="18"/>
        <w:szCs w:val="18"/>
      </w:rPr>
      <w:t xml:space="preserve"> 页</w:t>
    </w:r>
  </w:p>
</w:ftr>
</file>

<file path=word/settings.xml><?xml version="1.0" encoding="utf-8"?>
<w:settings xmlns:w="http://schemas.openxmlformats.org/wordprocessingml/2006/main">
  <w:zoom w:percent="100"/>
  <w:defaultTabStop w:val="420"/>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mc:Ignorable="w14">
  <w:docDefaults>
    <w:rPrDefault>
      <w:rPr>
        <w:rFonts w:ascii="Times New Roman" w:hAnsi="Times New Roman" w:eastAsia="宋体" w:cs="Times New Roman"/>
        <w:color w:val="1F2937"/>
        <w:sz w:val="23"/>
        <w:szCs w:val="23"/>
      </w:rPr>
    </w:rPrDefault>
    <w:pPrDefault/>
  </w:docDefaults>
  <!-- Normal -->
  <w:style w:type="paragraph" w:styleId="Normal" w:default="1">
    <w:name w:val="Normal"/>
    <w:qFormat/>
    <w:pPr>
      <w:spacing w:after="100" w:line="330" w:lineRule="auto"/>
    </w:pPr>
    <w:rPr>
      <w:rFonts w:ascii="Times New Roman" w:hAnsi="Times New Roman" w:eastAsia="宋体"/>
      <w:color w:val="1F2937"/>
      <w:sz w:val="23"/>
      <w:szCs w:val="23"/>
    </w:rPr>
  </w:style>
  <!-- Heading 1: 16pt bold #1F4E79, decorative borders, pageBreak -->
  <w:style w:type="paragraph" w:styleId="Heading1">
    <w:name w:val="heading 1"/>
    <w:basedOn w:val="Normal"/>
    <w:next w:val="Normal"/>
    <w:qFormat/>
    <w:pPr>
      <w:pageBreakBefore/>
      <w:pBdr>
        <w:left w:val="single" w:color="1F4E79" w:sz="18" w:space="8"/>
        <w:bottom w:val="single" w:color="D7E3F3" w:sz="4" w:space="4"/>
      </w:pBdr>
      <w:spacing w:before="420" w:after="180" w:line="330" w:lineRule="auto"/>
      <w:ind w:firstLine="0" w:firstLineChars="0"/>
      <w:outlineLvl w:val="0"/>
    </w:pPr>
    <w:rPr>
      <w:rFonts w:ascii="Times New Roman" w:hAnsi="Times New Roman" w:eastAsia="宋体"/>
      <w:b/>
      <w:bCs/>
      <w:color w:val="1F4E79"/>
      <w:sz w:val="32"/>
      <w:szCs w:val="32"/>
    </w:rPr>
  </w:style>
  <!-- Heading 2: 13.5pt bold #2F5597 -->
  <w:style w:type="paragraph" w:styleId="Heading2">
    <w:name w:val="heading 2"/>
    <w:basedOn w:val="Normal"/>
    <w:next w:val="Normal"/>
    <w:qFormat/>
    <w:pPr>
      <w:spacing w:before="260" w:after="120" w:line="330" w:lineRule="auto"/>
      <w:ind w:firstLine="0" w:firstLineChars="0"/>
      <w:outlineLvl w:val="1"/>
    </w:pPr>
    <w:rPr>
      <w:rFonts w:ascii="Times New Roman" w:hAnsi="Times New Roman" w:eastAsia="宋体"/>
      <w:b/>
      <w:bCs/>
      <w:color w:val="2F5597"/>
      <w:sz w:val="27"/>
      <w:szCs w:val="27"/>
    </w:rPr>
  </w:style>
  <!-- Heading 3: 12pt bold #374151 -->
  <w:style w:type="paragraph" w:styleId="Heading3">
    <w:name w:val="heading 3"/>
    <w:basedOn w:val="Normal"/>
    <w:next w:val="Normal"/>
    <w:qFormat/>
    <w:pPr>
      <w:spacing w:before="200" w:after="100" w:line="330" w:lineRule="auto"/>
      <w:ind w:firstLine="0" w:firstLineChars="0"/>
      <w:outlineLvl w:val="2"/>
    </w:pPr>
    <w:rPr>
      <w:rFonts w:ascii="Times New Roman" w:hAnsi="Times New Roman" w:eastAsia="宋体"/>
      <w:b/>
      <w:bCs/>
      <w:color w:val="374151"/>
      <w:sz w:val="24"/>
      <w:szCs w:val="24"/>
    </w:rPr>
  </w:style>
  <!-- Heading 4 -->
  <w:style w:type="paragraph" w:styleId="Heading4">
    <w:name w:val="heading 4"/>
    <w:basedOn w:val="Normal"/>
    <w:next w:val="Normal"/>
    <w:pPr>
      <w:spacing w:before="160" w:after="80"/>
      <w:ind w:firstLine="0" w:firstLineChars="0"/>
      <w:outlineLvl w:val="3"/>
    </w:pPr>
    <w:rPr>
      <w:rFonts w:ascii="Times New Roman" w:hAnsi="Times New Roman" w:eastAsia="宋体"/>
      <w:b/>
      <w:bCs/>
      <w:color w:val="374151"/>
      <w:sz w:val="23"/>
      <w:szCs w:val="23"/>
    </w:rPr>
  </w:style>
  <!-- Table Grid: light blue-gray grid -->
  <w:style w:type="table" w:styleId="TableGrid">
    <w:name w:val="Table Grid"/>
    <w:qFormat/>
    <w:tblPr>
      <w:tblBorders>
        <w:top w:val="single" w:color="9EADBF" w:sz="4" w:space="0"/>
        <w:left w:val="single" w:color="9EADBF" w:sz="4" w:space="0"/>
        <w:bottom w:val="single" w:color="9EADBF" w:sz="4" w:space="0"/>
        <w:right w:val="single" w:color="9EADBF" w:sz="4" w:space="0"/>
        <w:insideH w:val="single" w:color="C3CCD8" w:sz="4" w:space="0"/>
        <w:insideV w:val="single" w:color="C3CCD8" w:sz="4" w:space="0"/>
      </w:tblBorders>
      <w:tblCellMar>
        <w:top w:w="40" w:type="dxa"/>
        <w:left w:w="108" w:type="dxa"/>
        <w:bottom w:w="40" w:type="dxa"/>
        <w:right w:w="108" w:type="dxa"/>
      </w:tblCellMar>
    </w:tblPr>
  </w:style>
  <!-- Table Header paragraph -->
  <w:style w:type="paragraph" w:styleId="TableHeader">
    <w:name w:val="Table Header"/>
    <w:basedOn w:val="Normal"/>
    <w:pPr>
      <w:jc w:val="center"/>
      <w:ind w:firstLine="0" w:firstLineChars="0"/>
      <w:spacing w:before="0" w:after="0" w:line="280" w:lineRule="exact"/>
    </w:pPr>
    <w:rPr>
      <w:rFonts w:ascii="Times New Roman" w:hAnsi="Times New Roman" w:eastAsia="宋体"/>
      <w:b/>
      <w:bCs/>
      <w:color w:val="1F2937"/>
      <w:sz w:val="20"/>
      <w:szCs w:val="20"/>
    </w:rPr>
  </w:style>
  <!-- Table Cell paragraph -->
  <w:style w:type="paragraph" w:styleId="TableCell">
    <w:name w:val="Table Cell"/>
    <w:basedOn w:val="Normal"/>
    <w:pPr>
      <w:ind w:firstLine="0" w:firstLineChars="0"/>
      <w:spacing w:before="0" w:after="0" w:line="280" w:lineRule="exact"/>
    </w:pPr>
    <w:rPr>
      <w:rFonts w:ascii="Times New Roman" w:hAnsi="Times New Roman" w:eastAsia="宋体"/>
      <w:color w:val="1F2937"/>
      <w:sz w:val="20"/>
      <w:szCs w:val="20"/>
    </w:rPr>
  </w:style>
  <!-- List Paragraph -->
  <w:style w:type="paragraph" w:styleId="ListParagraph">
    <w:name w:val="List Paragraph"/>
    <w:basedOn w:val="Normal"/>
    <w:pPr>
      <w:spacing w:after="80" w:line="360" w:lineRule="auto"/>
      <w:ind w:left="720" w:hanging="360"/>
    </w:pPr>
    <w:rPr>
      <w:rFonts w:ascii="Times New Roman" w:hAnsi="Times New Roman" w:eastAsia="宋体"/>
      <w:color w:val="1F2937"/>
      <w:sz w:val="24"/>
      <w:szCs w:val="24"/>
    </w:rPr>
  </w:style>
  <!-- Code -->
  <w:style w:type="paragraph" w:styleId="Code">
    <w:name w:val="Code"/>
    <w:pPr>
      <w:shd w:val="clear" w:color="auto" w:fill="F6F8FA"/>
      <w:spacing w:line="260" w:lineRule="auto"/>
      <w:ind w:left="240" w:right="240" w:firstLine="0" w:firstLineChars="0"/>
    </w:pPr>
    <w:rPr>
      <w:rFonts w:ascii="Consolas" w:hAnsi="Consolas" w:eastAsia="宋体"/>
      <w:color w:val="1F2937"/>
      <w:sz w:val="18"/>
      <w:szCs w:val="18"/>
    </w:rPr>
  </w:style>
  <!-- Footer -->
  <w:style w:type="paragraph" w:styleId="Footer">
    <w:name w:val="footer"/>
    <w:basedOn w:val="Normal"/>
    <w:pPr>
      <w:jc w:val="center"/>
      <w:ind w:firstLine="0" w:firstLineChars="0"/>
      <w:spacing w:line="240" w:lineRule="auto"/>
    </w:pPr>
    <w:rPr>
      <w:rFonts w:ascii="Times New Roman" w:hAnsi="Times New Roman" w:eastAsia="宋体"/>
      <w:color w:val="1F2937"/>
      <w:sz w:val="18"/>
      <w:szCs w:val="18"/>
    </w:rPr>
  </w:style>
  <!-- Title -->
  <w:style w:type="paragraph" w:styleId="CoverTitle">
    <w:name w:val="Title"/>
    <w:basedOn w:val="Normal"/>
    <w:pPr>
      <w:jc w:val="center"/>
      <w:ind w:firstLine="0" w:firstLineChars="0"/>
      <w:spacing w:before="240" w:after="240" w:line="400" w:lineRule="exact"/>
    </w:pPr>
    <w:rPr>
      <w:rFonts w:ascii="Times New Roman" w:hAnsi="Times New Roman" w:eastAsia="宋体"/>
      <w:b/>
      <w:bCs/>
      <w:color w:val="1F2937"/>
      <w:sz w:val="44"/>
      <w:szCs w:val="44"/>
    </w:rPr>
  </w:style>
  <!-- Cover Info -->
  <w:style w:type="paragraph" w:styleId="CoverInfo">
    <w:name w:val="Cover Info"/>
    <w:basedOn w:val="Normal"/>
    <w:pPr>
      <w:jc w:val="center"/>
      <w:ind w:firstLine="0" w:firstLineChars="0"/>
      <w:spacing w:before="0" w:after="80" w:line="320" w:lineRule="exact"/>
    </w:pPr>
    <w:rPr>
      <w:rFonts w:ascii="Times New Roman" w:hAnsi="Times New Roman" w:eastAsia="宋体"/>
      <w:color w:val="5A6575"/>
      <w:sz w:val="20"/>
      <w:szCs w:val="20"/>
    </w:rPr>
  </w:style>
</w:styles>
</file>

<file path=word/_rels/document.xml.rels><?xml version="1.0" encoding="UTF-8" standalone="yes"?>
<ns0:Relationships xmlns:ns0="http://schemas.openxmlformats.org/package/2006/relationships" xmlns="http://schemas.openxmlformats.org/package/2006/relationships">
  <ns0:Relationship Id="rId1" Type="http://schemas.openxmlformats.org/officeDocument/2006/relationships/styles" Target="styles.xml" />
  <ns0:Relationship Id="rId2" Type="http://schemas.openxmlformats.org/officeDocument/2006/relationships/settings" Target="settings.xml" />
  <ns0:Relationship Id="rId3" Type="http://schemas.openxmlformats.org/officeDocument/2006/relationships/fontTable" Target="fontTable.xml" />
  <ns0:Relationship Id="rId4" Type="http://schemas.openxmlformats.org/officeDocument/2006/relationships/footer" Target="footer1.xml" />
<ns0:Relationship Id="rId5" Type="http://schemas.openxmlformats.org/officeDocument/2006/relationships/image" Target="media/system_architecture.png" /><ns0:Relationship Id="rId6" Type="http://schemas.openxmlformats.org/officeDocument/2006/relationships/image" Target="media/data_flow.png" /><ns0:Relationship Id="rId7" Type="http://schemas.openxmlformats.org/officeDocument/2006/relationships/image" Target="media/state_machine.png" /><ns0:Relationship Id="rId8" Type="http://schemas.openxmlformats.org/officeDocument/2006/relationships/image" Target="media/mac_pipeline.png" /><ns0:Relationship Id="rId9" Type="http://schemas.openxmlformats.org/officeDocument/2006/relationships/image" Target="media/cdc_architecture.png" /><ns0:Relationship Id="rId10" Type="http://schemas.openxmlformats.org/officeDocument/2006/relationships/image" Target="media/lfnst_flow.png" /><ns0:Relationship Id="rId11" Type="http://schemas.openxmlformats.org/officeDocument/2006/relationships/image" Target="media/tu_pipeline.png" /><ns0:Relationship Id="rId12" Type="http://schemas.openxmlformats.org/officeDocument/2006/relationships/image" Target="media/2d_decomposition.png" /><ns0:Relationship Id="rId13" Type="http://schemas.openxmlformats.org/officeDocument/2006/relationships/image" Target="media/transform_engine_sm.png" /><ns0:Relationship Id="rId14" Type="http://schemas.openxmlformats.org/officeDocument/2006/relationships/image" Target="media/mac_detail.png" /><ns0:Relationship Id="rId15" Type="http://schemas.openxmlformats.org/officeDocument/2006/relationships/image" Target="media/lfnst_sm.png" /><ns0:Relationship Id="rId16" Type="http://schemas.openxmlformats.org/officeDocument/2006/relationships/image" Target="media/backpressure_flow.png" /><ns0:Relationship Id="rId17" Type="http://schemas.openxmlformats.org/officeDocument/2006/relationships/image" Target="media/rom_mapping.png" /><ns0:Relationship Id="rId18" Type="http://schemas.openxmlformats.org/officeDocument/2006/relationships/image" Target="media/memory_arch.png" /><ns0:Relationship Id="rId19" Type="http://schemas.openxmlformats.org/officeDocument/2006/relationships/image" Target="media/verification_flow.png" /><Relationship Id="rId20" Type="http://schemas.openxmlformats.org/officeDocument/2006/relationships/image" Target="media/tu_pipeline.png" /><Relationship Id="rId21" Type="http://schemas.openxmlformats.org/officeDocument/2006/relationships/image" Target="media/verification_flow.png" /><Relationship Id="rId22" Type="http://schemas.openxmlformats.org/officeDocument/2006/relationships/image" Target="media/backpressure_flow.png" /></ns0:Relationships>
</file>