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color w:val="666666"/>
          <w:sz w:val="22"/>
          <w:szCs w:val="22"/>
        </w:rPr>
        <w:t xml:space="preserve">[경영보고서 제 2026-03호]</w:t>
      </w:r>
    </w:p>
    <w:p>
      <w:pPr>
        <w:pBdr>
          <w:bottom w:val="single" w:color="2E5090" w:sz="6" w:space="8"/>
        </w:pBdr>
        <w:spacing w:after="100"/>
        <w:jc w:val="center"/>
      </w:pPr>
      <w:r>
        <w:rPr>
          <w:rFonts w:ascii="Arial" w:cs="Arial" w:eastAsia="Arial" w:hAnsi="Arial"/>
          <w:b/>
          <w:bCs/>
          <w:color w:val="1A3764"/>
          <w:sz w:val="48"/>
          <w:szCs w:val="48"/>
        </w:rPr>
        <w:t xml:space="preserve">AAS 기반 제조 데이터 표준화</w:t>
      </w:r>
    </w:p>
    <w:p>
      <w:pPr>
        <w:spacing w:after="100"/>
        <w:jc w:val="center"/>
      </w:pPr>
      <w:r>
        <w:rPr>
          <w:rFonts w:ascii="Arial" w:cs="Arial" w:eastAsia="Arial" w:hAnsi="Arial"/>
          <w:b/>
          <w:bCs/>
          <w:color w:val="1A3764"/>
          <w:sz w:val="48"/>
          <w:szCs w:val="48"/>
        </w:rPr>
        <w:t xml:space="preserve">및 디지털트윈 실행계획서</w:t>
      </w:r>
    </w:p>
    <w:p>
      <w:pPr>
        <w:spacing w:after="400" w:before="200"/>
        <w:jc w:val="center"/>
      </w:pPr>
      <w:r>
        <w:rPr>
          <w:rFonts w:ascii="Arial" w:cs="Arial" w:eastAsia="Arial" w:hAnsi="Arial"/>
          <w:i/>
          <w:iCs/>
          <w:color w:val="2E5090"/>
          <w:sz w:val="26"/>
          <w:szCs w:val="26"/>
        </w:rPr>
        <w:t xml:space="preserve">제조 데이터 표준화를 통한 AI 경쟁력 확보 전략</w:t>
      </w:r>
    </w:p>
    <w:p>
      <w:pPr>
        <w:spacing w:after="100" w:before="200"/>
        <w:jc w:val="center"/>
      </w:pPr>
      <w:r>
        <w:rPr>
          <w:rFonts w:ascii="Arial" w:cs="Arial" w:eastAsia="Arial" w:hAnsi="Arial"/>
          <w:b/>
          <w:bCs/>
          <w:color w:val="C0392B"/>
          <w:sz w:val="24"/>
          <w:szCs w:val="24"/>
        </w:rPr>
        <w:t xml:space="preserve">SWOT 분석 포함</w:t>
      </w:r>
    </w:p>
    <w:p>
      <w:pPr>
        <w:spacing w:before="2000"/>
      </w:pPr>
    </w:p>
    <w:p>
      <w:pPr>
        <w:spacing w:after="80"/>
        <w:jc w:val="center"/>
      </w:pPr>
      <w:r>
        <w:rPr>
          <w:rFonts w:ascii="Arial" w:cs="Arial" w:eastAsia="Arial" w:hAnsi="Arial"/>
          <w:color w:val="666666"/>
          <w:sz w:val="22"/>
          <w:szCs w:val="22"/>
        </w:rPr>
        <w:t xml:space="preserve">작성일: 2026년 3월 30일</w:t>
      </w:r>
    </w:p>
    <w:p>
      <w:pPr>
        <w:spacing w:after="80"/>
        <w:jc w:val="center"/>
      </w:pPr>
      <w:r>
        <w:rPr>
          <w:rFonts w:ascii="Arial" w:cs="Arial" w:eastAsia="Arial" w:hAnsi="Arial"/>
          <w:color w:val="888888"/>
          <w:sz w:val="20"/>
          <w:szCs w:val="20"/>
        </w:rPr>
        <w:t xml:space="preserve">참고자료: 한국인더스트리4.0협회 박한구 명예회장 칼럼</w:t>
      </w:r>
    </w:p>
    <w:p>
      <w:pPr>
        <w:jc w:val="center"/>
      </w:pPr>
      <w:r>
        <w:rPr>
          <w:rFonts w:ascii="Arial" w:cs="Arial" w:eastAsia="Arial" w:hAnsi="Arial"/>
          <w:color w:val="888888"/>
          <w:sz w:val="20"/>
          <w:szCs w:val="20"/>
        </w:rPr>
        <w:t xml:space="preserve">AAS 도입 3단계 실행계획서 (임원 보고용)</w:t>
      </w:r>
    </w:p>
    <w:p>
      <w:pPr>
        <w:sectPr>
          <w:pgSz w:w="11906" w:h="16838" w:orient="portrait"/>
          <w:pgMar w:top="1440" w:right="1440" w:bottom="1440" w:left="1440" w:header="708" w:footer="708" w:gutter="0"/>
          <w:pgNumType/>
          <w:docGrid w:linePitch="360"/>
        </w:sectPr>
      </w:pPr>
    </w:p>
    <w:p>
      <w:pPr>
        <w:pStyle w:val="Heading1"/>
      </w:pPr>
      <w:r>
        <w:rPr>
          <w:b/>
          <w:bCs/>
        </w:rPr>
        <w:t xml:space="preserve">목  차</w:t>
      </w:r>
    </w:p>
    <w:p>
      <w:pPr>
        <w:spacing w:after="200"/>
      </w:pPr>
    </w:p>
    <w:p>
      <w:pPr>
        <w:spacing w:after="120"/>
      </w:pPr>
      <w:r>
        <w:rPr>
          <w:rFonts w:ascii="Arial" w:cs="Arial" w:eastAsia="Arial" w:hAnsi="Arial"/>
          <w:b/>
          <w:bCs/>
          <w:color w:val="1A3764"/>
          <w:sz w:val="22"/>
          <w:szCs w:val="22"/>
        </w:rPr>
        <w:t xml:space="preserve">1. AAS의 필요성 및 배경</w:t>
      </w:r>
    </w:p>
    <w:p>
      <w:pPr>
        <w:spacing w:after="120"/>
        <w:ind w:left="480"/>
      </w:pPr>
      <w:r>
        <w:rPr>
          <w:rFonts w:ascii="Arial" w:cs="Arial" w:eastAsia="Arial" w:hAnsi="Arial"/>
          <w:b w:val="false"/>
          <w:bCs w:val="false"/>
          <w:color w:val="444444"/>
          <w:sz w:val="22"/>
          <w:szCs w:val="22"/>
        </w:rPr>
        <w:t xml:space="preserve">1.1 제조 현장의 데이터 현실</w:t>
      </w:r>
    </w:p>
    <w:p>
      <w:pPr>
        <w:spacing w:after="120"/>
        <w:ind w:left="480"/>
      </w:pPr>
      <w:r>
        <w:rPr>
          <w:rFonts w:ascii="Arial" w:cs="Arial" w:eastAsia="Arial" w:hAnsi="Arial"/>
          <w:b w:val="false"/>
          <w:bCs w:val="false"/>
          <w:color w:val="444444"/>
          <w:sz w:val="22"/>
          <w:szCs w:val="22"/>
        </w:rPr>
        <w:t xml:space="preserve">1.2 플랫폼 종속 문제</w:t>
      </w:r>
    </w:p>
    <w:p>
      <w:pPr>
        <w:spacing w:after="120"/>
        <w:ind w:left="480"/>
      </w:pPr>
      <w:r>
        <w:rPr>
          <w:rFonts w:ascii="Arial" w:cs="Arial" w:eastAsia="Arial" w:hAnsi="Arial"/>
          <w:b w:val="false"/>
          <w:bCs w:val="false"/>
          <w:color w:val="444444"/>
          <w:sz w:val="22"/>
          <w:szCs w:val="22"/>
        </w:rPr>
        <w:t xml:space="preserve">1.3 AAS란 무엇인가</w:t>
      </w:r>
    </w:p>
    <w:p>
      <w:pPr>
        <w:spacing w:after="120"/>
        <w:ind w:left="480"/>
      </w:pPr>
      <w:r>
        <w:rPr>
          <w:rFonts w:ascii="Arial" w:cs="Arial" w:eastAsia="Arial" w:hAnsi="Arial"/>
          <w:b w:val="false"/>
          <w:bCs w:val="false"/>
          <w:color w:val="444444"/>
          <w:sz w:val="22"/>
          <w:szCs w:val="22"/>
        </w:rPr>
        <w:t xml:space="preserve">1.4 AAS와 AI Agent 시대</w:t>
      </w:r>
    </w:p>
    <w:p>
      <w:pPr>
        <w:spacing w:after="120"/>
      </w:pPr>
      <w:r>
        <w:rPr>
          <w:rFonts w:ascii="Arial" w:cs="Arial" w:eastAsia="Arial" w:hAnsi="Arial"/>
          <w:b/>
          <w:bCs/>
          <w:color w:val="1A3764"/>
          <w:sz w:val="22"/>
          <w:szCs w:val="22"/>
        </w:rPr>
        <w:t xml:space="preserve">2. AAS 도입 3단계 실행 로드맵</w:t>
      </w:r>
    </w:p>
    <w:p>
      <w:pPr>
        <w:spacing w:after="120"/>
        <w:ind w:left="480"/>
      </w:pPr>
      <w:r>
        <w:rPr>
          <w:rFonts w:ascii="Arial" w:cs="Arial" w:eastAsia="Arial" w:hAnsi="Arial"/>
          <w:b w:val="false"/>
          <w:bCs w:val="false"/>
          <w:color w:val="444444"/>
          <w:sz w:val="22"/>
          <w:szCs w:val="22"/>
        </w:rPr>
        <w:t xml:space="preserve">2.1 핵심 기조 및 추진 방향</w:t>
      </w:r>
    </w:p>
    <w:p>
      <w:pPr>
        <w:spacing w:after="120"/>
        <w:ind w:left="480"/>
      </w:pPr>
      <w:r>
        <w:rPr>
          <w:rFonts w:ascii="Arial" w:cs="Arial" w:eastAsia="Arial" w:hAnsi="Arial"/>
          <w:b w:val="false"/>
          <w:bCs w:val="false"/>
          <w:color w:val="444444"/>
          <w:sz w:val="22"/>
          <w:szCs w:val="22"/>
        </w:rPr>
        <w:t xml:space="preserve">2.2 단기 (0~6개월): 데이터 의미 표준화</w:t>
      </w:r>
    </w:p>
    <w:p>
      <w:pPr>
        <w:spacing w:after="120"/>
        <w:ind w:left="480"/>
      </w:pPr>
      <w:r>
        <w:rPr>
          <w:rFonts w:ascii="Arial" w:cs="Arial" w:eastAsia="Arial" w:hAnsi="Arial"/>
          <w:b w:val="false"/>
          <w:bCs w:val="false"/>
          <w:color w:val="444444"/>
          <w:sz w:val="22"/>
          <w:szCs w:val="22"/>
        </w:rPr>
        <w:t xml:space="preserve">2.3 중기 (6~18개월): 현장 노하우 자산화</w:t>
      </w:r>
    </w:p>
    <w:p>
      <w:pPr>
        <w:spacing w:after="120"/>
        <w:ind w:left="480"/>
      </w:pPr>
      <w:r>
        <w:rPr>
          <w:rFonts w:ascii="Arial" w:cs="Arial" w:eastAsia="Arial" w:hAnsi="Arial"/>
          <w:b w:val="false"/>
          <w:bCs w:val="false"/>
          <w:color w:val="444444"/>
          <w:sz w:val="22"/>
          <w:szCs w:val="22"/>
        </w:rPr>
        <w:t xml:space="preserve">2.4 장기 (18~36개월): 지능형 운영 확산</w:t>
      </w:r>
    </w:p>
    <w:p>
      <w:pPr>
        <w:spacing w:after="120"/>
      </w:pPr>
      <w:r>
        <w:rPr>
          <w:rFonts w:ascii="Arial" w:cs="Arial" w:eastAsia="Arial" w:hAnsi="Arial"/>
          <w:b/>
          <w:bCs/>
          <w:color w:val="1A3764"/>
          <w:sz w:val="22"/>
          <w:szCs w:val="22"/>
        </w:rPr>
        <w:t xml:space="preserve">3. 단계별 기대 효과</w:t>
      </w:r>
    </w:p>
    <w:p>
      <w:pPr>
        <w:spacing w:after="120"/>
      </w:pPr>
      <w:r>
        <w:rPr>
          <w:rFonts w:ascii="Arial" w:cs="Arial" w:eastAsia="Arial" w:hAnsi="Arial"/>
          <w:b/>
          <w:bCs/>
          <w:color w:val="1A3764"/>
          <w:sz w:val="22"/>
          <w:szCs w:val="22"/>
        </w:rPr>
        <w:t xml:space="preserve">4. 경영진 의사결정 사항</w:t>
      </w:r>
    </w:p>
    <w:p>
      <w:pPr>
        <w:spacing w:after="120"/>
      </w:pPr>
      <w:r>
        <w:rPr>
          <w:rFonts w:ascii="Arial" w:cs="Arial" w:eastAsia="Arial" w:hAnsi="Arial"/>
          <w:b/>
          <w:bCs/>
          <w:color w:val="1A3764"/>
          <w:sz w:val="22"/>
          <w:szCs w:val="22"/>
        </w:rPr>
        <w:t xml:space="preserve">5. SWOT 분석</w:t>
      </w:r>
    </w:p>
    <w:p>
      <w:pPr>
        <w:spacing w:after="120"/>
        <w:ind w:left="480"/>
      </w:pPr>
      <w:r>
        <w:rPr>
          <w:rFonts w:ascii="Arial" w:cs="Arial" w:eastAsia="Arial" w:hAnsi="Arial"/>
          <w:b w:val="false"/>
          <w:bCs w:val="false"/>
          <w:color w:val="444444"/>
          <w:sz w:val="22"/>
          <w:szCs w:val="22"/>
        </w:rPr>
        <w:t xml:space="preserve">5.1 강점 (Strengths)</w:t>
      </w:r>
    </w:p>
    <w:p>
      <w:pPr>
        <w:spacing w:after="120"/>
        <w:ind w:left="480"/>
      </w:pPr>
      <w:r>
        <w:rPr>
          <w:rFonts w:ascii="Arial" w:cs="Arial" w:eastAsia="Arial" w:hAnsi="Arial"/>
          <w:b w:val="false"/>
          <w:bCs w:val="false"/>
          <w:color w:val="444444"/>
          <w:sz w:val="22"/>
          <w:szCs w:val="22"/>
        </w:rPr>
        <w:t xml:space="preserve">5.2 약점 (Weaknesses)</w:t>
      </w:r>
    </w:p>
    <w:p>
      <w:pPr>
        <w:spacing w:after="120"/>
        <w:ind w:left="480"/>
      </w:pPr>
      <w:r>
        <w:rPr>
          <w:rFonts w:ascii="Arial" w:cs="Arial" w:eastAsia="Arial" w:hAnsi="Arial"/>
          <w:b w:val="false"/>
          <w:bCs w:val="false"/>
          <w:color w:val="444444"/>
          <w:sz w:val="22"/>
          <w:szCs w:val="22"/>
        </w:rPr>
        <w:t xml:space="preserve">5.3 기회 (Opportunities)</w:t>
      </w:r>
    </w:p>
    <w:p>
      <w:pPr>
        <w:spacing w:after="120"/>
        <w:ind w:left="480"/>
      </w:pPr>
      <w:r>
        <w:rPr>
          <w:rFonts w:ascii="Arial" w:cs="Arial" w:eastAsia="Arial" w:hAnsi="Arial"/>
          <w:b w:val="false"/>
          <w:bCs w:val="false"/>
          <w:color w:val="444444"/>
          <w:sz w:val="22"/>
          <w:szCs w:val="22"/>
        </w:rPr>
        <w:t xml:space="preserve">5.4 위협 (Threats)</w:t>
      </w:r>
    </w:p>
    <w:p>
      <w:pPr>
        <w:spacing w:after="120"/>
      </w:pPr>
      <w:r>
        <w:rPr>
          <w:rFonts w:ascii="Arial" w:cs="Arial" w:eastAsia="Arial" w:hAnsi="Arial"/>
          <w:b/>
          <w:bCs/>
          <w:color w:val="1A3764"/>
          <w:sz w:val="22"/>
          <w:szCs w:val="22"/>
        </w:rPr>
        <w:t xml:space="preserve">6. 전략적 시사점 및 결론</w:t>
      </w:r>
    </w:p>
    <w:p>
      <w:pPr>
        <w:sectPr>
          <w:headerReference w:type="default" r:id="rId7"/>
          <w:footerReference w:type="default" r:id="rId8"/>
          <w:pgSz w:w="11906" w:h="16838" w:orient="portrait"/>
          <w:pgMar w:top="1440" w:right="1440" w:bottom="1440" w:left="1440" w:header="708" w:footer="708" w:gutter="0"/>
          <w:pgNumType/>
          <w:docGrid w:linePitch="360"/>
        </w:sectPr>
      </w:pPr>
    </w:p>
    <w:p>
      <w:pPr>
        <w:pStyle w:val="Heading1"/>
      </w:pPr>
      <w:r>
        <w:t xml:space="preserve">1. AAS의 필요성 및 배경</w:t>
      </w:r>
    </w:p>
    <w:p>
      <w:pPr>
        <w:spacing w:after="200"/>
      </w:pPr>
      <w:r>
        <w:rPr>
          <w:rFonts w:ascii="Arial" w:cs="Arial" w:eastAsia="Arial" w:hAnsi="Arial"/>
          <w:i/>
          <w:iCs/>
          <w:color w:val="444444"/>
          <w:sz w:val="22"/>
          <w:szCs w:val="22"/>
        </w:rPr>
        <w:t xml:space="preserve">"AI를 도입하면 우리 공장도 똑똑해지는 것 아닙니까?" 요즘 제조기업 경영자들이 가장 많이 하는 질문이다. AI, 디지털트윈, 데이터스페이스, 탄소규제 대응까지 해야 할 일은 많은데, 어디서부터 시작해야 할지 막막하다는 의미이기도 하다.</w:t>
      </w:r>
    </w:p>
    <w:p>
      <w:pPr>
        <w:pStyle w:val="Heading2"/>
      </w:pPr>
      <w:r>
        <w:t xml:space="preserve">1.1 제조 현장의 데이터 현실</w:t>
      </w:r>
    </w:p>
    <w:p>
      <w:pPr>
        <w:spacing w:after="120"/>
      </w:pPr>
      <w:r>
        <w:rPr>
          <w:rFonts w:ascii="Arial" w:cs="Arial" w:eastAsia="Arial" w:hAnsi="Arial"/>
          <w:sz w:val="22"/>
          <w:szCs w:val="22"/>
        </w:rPr>
        <w:t xml:space="preserve">현재 제조 현장에는 PLC, MES, ERP, 설비 로그 등 다양한 데이터가 존재한다. 그러나 이 데이터들은 서로 다른 언어를 사용하고 있다. 같은 '온도'라도 설비마다 의미가 다르고, 단위도 다르며, 정상 기준도 다르다. 사람은 경험으로 해석할 수 있지만, AI는 그렇지 못하다.</w:t>
      </w:r>
    </w:p>
    <w:p>
      <w:pPr>
        <w:spacing w:after="120"/>
      </w:pPr>
      <w:r>
        <w:rPr>
          <w:rFonts w:ascii="Arial" w:cs="Arial" w:eastAsia="Arial" w:hAnsi="Arial"/>
          <w:sz w:val="22"/>
          <w:szCs w:val="22"/>
        </w:rPr>
        <w:t xml:space="preserve">많은 기업이 '데이터가 많다'는 사실과 '데이터가 통한다'는 사실을 혼동하고 있다. AI Brain이 제대로 작동하려면 데이터는 단순한 숫자의 집합이 아니라 의미가 정의된 언어여야 한다.</w:t>
      </w:r>
    </w:p>
    <w:p>
      <w:pPr>
        <w:spacing w:after="100" w:before="200"/>
      </w:pPr>
      <w:r>
        <w:rPr>
          <w:rFonts w:ascii="Arial" w:cs="Arial" w:eastAsia="Arial" w:hAnsi="Arial"/>
          <w:b/>
          <w:bCs/>
          <w:color w:val="2E5090"/>
          <w:sz w:val="20"/>
          <w:szCs w:val="20"/>
        </w:rPr>
        <w:t xml:space="preserve">&lt; 데이터 표현 비교: 현재 vs AAS 적용 후 &gt;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2E5090" w:sz="2"/>
              <w:left w:val="single" w:color="2E5090" w:sz="2"/>
              <w:bottom w:val="single" w:color="2E5090" w:sz="2"/>
              <w:right w:val="single" w:color="2E5090" w:sz="2"/>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현재 (Raw Data)</w:t>
            </w:r>
          </w:p>
        </w:tc>
        <w:tc>
          <w:tcPr>
            <w:tcW w:type="dxa" w:w="4513"/>
            <w:tcBorders>
              <w:top w:val="single" w:color="2E5090" w:sz="2"/>
              <w:left w:val="single" w:color="2E5090" w:sz="2"/>
              <w:bottom w:val="single" w:color="2E5090" w:sz="2"/>
              <w:right w:val="single" w:color="2E5090" w:sz="2"/>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AAS 적용 후 (Semantic Data)</w:t>
            </w:r>
          </w:p>
        </w:tc>
      </w:tr>
      <w:tr>
        <w:tc>
          <w:tcPr>
            <w:tcW w:type="dxa" w:w="4513"/>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pPr>
              <w:jc w:val="left"/>
            </w:pPr>
            <w:r>
              <w:rPr>
                <w:rFonts w:ascii="Arial" w:cs="Arial" w:eastAsia="Arial" w:hAnsi="Arial"/>
                <w:sz w:val="20"/>
                <w:szCs w:val="20"/>
              </w:rPr>
              <w:t xml:space="preserve">온도 = 85</w:t>
            </w:r>
          </w:p>
        </w:tc>
        <w:tc>
          <w:tcPr>
            <w:tcW w:type="dxa" w:w="4513"/>
            <w:tcBorders>
              <w:top w:val="single" w:color="CCCCCC" w:sz="1"/>
              <w:left w:val="single" w:color="CCCCCC" w:sz="1"/>
              <w:bottom w:val="single" w:color="CCCCCC" w:sz="1"/>
              <w:right w:val="single" w:color="CCCCCC" w:sz="1"/>
            </w:tcBorders>
            <w:shd w:fill="E8F8E8" w:val="clear"/>
            <w:tcMar>
              <w:top w:type="dxa" w:w="80"/>
              <w:left w:type="dxa" w:w="120"/>
              <w:bottom w:type="dxa" w:w="80"/>
              <w:right w:type="dxa" w:w="120"/>
            </w:tcMar>
            <w:vAlign w:val="center"/>
          </w:tcPr>
          <w:p>
            <w:pPr>
              <w:jc w:val="left"/>
            </w:pPr>
            <w:r>
              <w:rPr>
                <w:rFonts w:ascii="Arial" w:cs="Arial" w:eastAsia="Arial" w:hAnsi="Arial"/>
                <w:sz w:val="20"/>
                <w:szCs w:val="20"/>
              </w:rPr>
              <w:t xml:space="preserve">압연기 3번 베어링 온도 = 85°C (정상범위 60~90)</w:t>
            </w:r>
          </w:p>
        </w:tc>
      </w:tr>
    </w:tbl>
    <w:p>
      <w:pPr>
        <w:pStyle w:val="Heading2"/>
      </w:pPr>
      <w:r>
        <w:t xml:space="preserve">1.2 플랫폼 종속(Lock-in) 문제</w:t>
      </w:r>
    </w:p>
    <w:p>
      <w:pPr>
        <w:spacing w:after="120"/>
      </w:pPr>
      <w:r>
        <w:rPr>
          <w:rFonts w:ascii="Arial" w:cs="Arial" w:eastAsia="Arial" w:hAnsi="Arial"/>
          <w:sz w:val="22"/>
          <w:szCs w:val="22"/>
        </w:rPr>
        <w:t xml:space="preserve">현재 주요 디지털트윈 플랫폼들은 각기 다른 데이터 표현 방식을 사용한다. AWS IoT TwinMaker는 엔터티/컴포넌트 구조, Azure Digital Twins는 DTDL 모델 언어, NVIDIA Omniverse는 OpenUSD 기반, Siemens Xcelerator는 디지털 스레드 구조를 갖는다. 이들 모두 우수한 플랫폼이지만 서로 같은 언어를 사용하지 않는다.</w:t>
      </w:r>
    </w:p>
    <w:p>
      <w:pPr>
        <w:spacing w:after="120"/>
      </w:pPr>
      <w:r>
        <w:rPr>
          <w:rFonts w:ascii="Arial" w:cs="Arial" w:eastAsia="Arial" w:hAnsi="Arial"/>
          <w:sz w:val="22"/>
          <w:szCs w:val="22"/>
        </w:rPr>
        <w:t xml:space="preserve">실제 운영에서는 목적에 따라 여러 플랫폼을 함께 사용하게 되는데, AAS 없이 시작하면 플랫폼마다 모델을 따로 만들어야 한다. 결국 데이터는 기업 자산이 아니라 플랫폼 자산이 되며, 이것이 많은 스마트 팩토리 프로젝트가 확산되지 못하는 핵심 원인이다.</w:t>
      </w:r>
    </w:p>
    <w:p>
      <w:pPr>
        <w:pStyle w:val="Heading2"/>
      </w:pPr>
      <w:r>
        <w:t xml:space="preserve">1.3 AAS란 무엇인가</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5090" w:sz="4"/>
              <w:left w:val="single" w:color="2E5090" w:sz="4"/>
              <w:bottom w:val="single" w:color="2E5090" w:sz="4"/>
              <w:right w:val="single" w:color="2E5090" w:sz="4"/>
            </w:tcBorders>
            <w:shd w:fill="EBF5FB" w:val="clear"/>
            <w:tcMar>
              <w:top w:type="dxa" w:w="160"/>
              <w:left w:type="dxa" w:w="200"/>
              <w:bottom w:type="dxa" w:w="160"/>
              <w:right w:type="dxa" w:w="200"/>
            </w:tcMar>
          </w:tcPr>
          <w:p>
            <w:pPr>
              <w:spacing w:after="80"/>
            </w:pPr>
            <w:r>
              <w:rPr>
                <w:rFonts w:ascii="Arial" w:cs="Arial" w:eastAsia="Arial" w:hAnsi="Arial"/>
                <w:b/>
                <w:bCs/>
                <w:color w:val="1A3764"/>
                <w:sz w:val="22"/>
                <w:szCs w:val="22"/>
              </w:rPr>
              <w:t xml:space="preserve">AAS (Asset Administration Shell) 핵심 정의</w:t>
            </w:r>
          </w:p>
          <w:p>
            <w:r>
              <w:rPr>
                <w:rFonts w:ascii="Arial" w:cs="Arial" w:eastAsia="Arial" w:hAnsi="Arial"/>
                <w:sz w:val="22"/>
                <w:szCs w:val="22"/>
              </w:rPr>
              <w:t xml:space="preserve">AAS는 플랫폼이 아니라 공장의 표준 사전이다. 데이터를 저장하는 것이 아니라 데이터의 의미를 설명하는 언어이며, 기업이 스스로 정의하는 데이터의 공통 의미체계다. AAS는 서로 다른 플랫폼을 연결하는 공통 의미계층으로서, 플랫폼을 대체하는 것이 아니라 보완한다.</w:t>
            </w:r>
          </w:p>
        </w:tc>
      </w:tr>
    </w:tbl>
    <w:p>
      <w:pPr>
        <w:spacing w:after="120" w:before="200"/>
      </w:pPr>
      <w:r>
        <w:rPr>
          <w:rFonts w:ascii="Arial" w:cs="Arial" w:eastAsia="Arial" w:hAnsi="Arial"/>
          <w:sz w:val="22"/>
          <w:szCs w:val="22"/>
        </w:rPr>
        <w:t xml:space="preserve">비유하면 AWS, Azure, Omniverse, Siemens는 각각 다른 외국어이고, AAS는 회사의 공식 원문이다. 원문이 정확하면 어떤 언어로도 번역할 수 있지만, 원문이 없으면 번역할 때마다 의미가 달라진다.</w:t>
      </w:r>
    </w:p>
    <w:p>
      <w:pPr>
        <w:pStyle w:val="Heading2"/>
      </w:pPr>
      <w:r>
        <w:t xml:space="preserve">1.4 AAS와 AI Agent 시대</w:t>
      </w:r>
    </w:p>
    <w:p>
      <w:pPr>
        <w:spacing w:after="120"/>
      </w:pPr>
      <w:r>
        <w:rPr>
          <w:rFonts w:ascii="Arial" w:cs="Arial" w:eastAsia="Arial" w:hAnsi="Arial"/>
          <w:sz w:val="22"/>
          <w:szCs w:val="22"/>
        </w:rPr>
        <w:t xml:space="preserve">앞으로 AI Agent는 설비 이상 판단, 품질 예측, 탄소 계산, 작업 지시 등을 수행하게 된다. AI가 플랫폼마다 다른 언어를 따로 배워야 한다면 비용은 증가하고 결과는 일관성을 잃게 된다. AAS가 있으면 AI는 AAS를 통해 의미를 이해하고 플랫폼은 실행 도구로 활용된다. 즉, AAS는 사람뿐 아니라 AI와 AI Agent를 위한 공용 언어가 된다.</w:t>
      </w:r>
    </w:p>
    <w:p>
      <w:pPr>
        <w:spacing w:after="200"/>
      </w:pPr>
      <w:r>
        <w:rPr>
          <w:rFonts w:ascii="Arial" w:cs="Arial" w:eastAsia="Arial" w:hAnsi="Arial"/>
          <w:b/>
          <w:bCs/>
          <w:color w:val="C0392B"/>
          <w:sz w:val="22"/>
          <w:szCs w:val="22"/>
        </w:rPr>
        <w:t xml:space="preserve">결론적으로, AAS는 단순한 표준이 아니라 AI, 디지털트윈, 데이터스페이스, CBAM, DPP를 하나로 연결하는 제조 데이터의 공용 언어다.</w:t>
      </w:r>
    </w:p>
    <w:p>
      <w:r>
        <w:br w:type="page"/>
      </w:r>
    </w:p>
    <w:p>
      <w:pPr>
        <w:pStyle w:val="Heading1"/>
      </w:pPr>
      <w:r>
        <w:t xml:space="preserve">2. AAS 도입 3단계 실행 로드맵</w:t>
      </w:r>
    </w:p>
    <w:p>
      <w:pPr>
        <w:pStyle w:val="Heading2"/>
      </w:pPr>
      <w:r>
        <w:t xml:space="preserve">2.1 핵심 기조 및 추진 방향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7E22" w:sz="4"/>
              <w:left w:val="single" w:color="E67E22" w:sz="4"/>
              <w:bottom w:val="single" w:color="E67E22" w:sz="4"/>
              <w:right w:val="single" w:color="E67E22" w:sz="4"/>
            </w:tcBorders>
            <w:shd w:fill="FEF5E7" w:val="clear"/>
            <w:tcMar>
              <w:top w:type="dxa" w:w="160"/>
              <w:left w:type="dxa" w:w="200"/>
              <w:bottom w:type="dxa" w:w="160"/>
              <w:right w:type="dxa" w:w="200"/>
            </w:tcMar>
          </w:tcPr>
          <w:p>
            <w:pPr>
              <w:spacing w:after="80"/>
              <w:jc w:val="center"/>
            </w:pPr>
            <w:r>
              <w:rPr>
                <w:rFonts w:ascii="Arial" w:cs="Arial" w:eastAsia="Arial" w:hAnsi="Arial"/>
                <w:b/>
                <w:bCs/>
                <w:color w:val="E67E22"/>
                <w:sz w:val="22"/>
                <w:szCs w:val="22"/>
              </w:rPr>
              <w:t xml:space="preserve">핵심 기조: "AI 보다 먼저, 데이터가 서로 통하는 언어(AAS)를 만들어야 한다"</w:t>
            </w:r>
          </w:p>
          <w:p>
            <w:pPr>
              <w:jc w:val="center"/>
            </w:pPr>
            <w:r>
              <w:rPr>
                <w:rFonts w:ascii="Arial" w:cs="Arial" w:eastAsia="Arial" w:hAnsi="Arial"/>
                <w:color w:val="444444"/>
                <w:sz w:val="22"/>
                <w:szCs w:val="22"/>
              </w:rPr>
              <w:t xml:space="preserve">추진 방향: AAS (데이터 표준) → Rule (노하우 자산화) → 디지털트윈 → AI</w:t>
            </w:r>
          </w:p>
        </w:tc>
      </w:tr>
    </w:tbl>
    <w:p>
      <w:pPr>
        <w:pStyle w:val="Heading2"/>
      </w:pPr>
      <w:r>
        <w:t xml:space="preserve">2.2 단기 (0~6개월): 데이터 의미 표준화 (AAS 기반 구축)</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526"/>
        <w:gridCol w:w="2500"/>
      </w:tblGrid>
      <w:tr>
        <w:tc>
          <w:tcPr>
            <w:tcW w:type="dxa" w:w="1500"/>
            <w:tcBorders>
              <w:top w:val="single" w:color="2E5090" w:sz="2"/>
              <w:left w:val="single" w:color="2E5090" w:sz="2"/>
              <w:bottom w:val="single" w:color="2E5090" w:sz="2"/>
              <w:right w:val="single" w:color="2E5090" w:sz="2"/>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항목</w:t>
            </w:r>
          </w:p>
        </w:tc>
        <w:tc>
          <w:tcPr>
            <w:tcW w:type="dxa" w:w="2500"/>
            <w:tcBorders>
              <w:top w:val="single" w:color="2E5090" w:sz="2"/>
              <w:left w:val="single" w:color="2E5090" w:sz="2"/>
              <w:bottom w:val="single" w:color="2E5090" w:sz="2"/>
              <w:right w:val="single" w:color="2E5090" w:sz="2"/>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핵심 실행 과제</w:t>
            </w:r>
          </w:p>
        </w:tc>
        <w:tc>
          <w:tcPr>
            <w:tcW w:type="dxa" w:w="2526"/>
            <w:tcBorders>
              <w:top w:val="single" w:color="2E5090" w:sz="2"/>
              <w:left w:val="single" w:color="2E5090" w:sz="2"/>
              <w:bottom w:val="single" w:color="2E5090" w:sz="2"/>
              <w:right w:val="single" w:color="2E5090" w:sz="2"/>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주요 산출물</w:t>
            </w:r>
          </w:p>
        </w:tc>
        <w:tc>
          <w:tcPr>
            <w:tcW w:type="dxa" w:w="2500"/>
            <w:tcBorders>
              <w:top w:val="single" w:color="2E5090" w:sz="2"/>
              <w:left w:val="single" w:color="2E5090" w:sz="2"/>
              <w:bottom w:val="single" w:color="2E5090" w:sz="2"/>
              <w:right w:val="single" w:color="2E5090" w:sz="2"/>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KPI</w:t>
            </w:r>
          </w:p>
        </w:tc>
      </w:tr>
      <w:tr>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목표</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핵심 설비 1~3종 및 주요 공정 선정
데이터 표준 사전 정의 (명칭/단위/정상범위)
AAS 템플릿 작성 및 파일럿 적용</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AAS 모델
데이터 표준 사전</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AAS 적용 자산 수
표준화 완료 항목 수</w:t>
            </w:r>
          </w:p>
        </w:tc>
      </w:tr>
      <w:tr>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담당 조직</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생산기술, IT/DT</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Raw Data → Semantic AAS 전환</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공장 데이터를 'AI가 이해할 수 있는 언어'로 번역</w:t>
            </w:r>
          </w:p>
        </w:tc>
      </w:tr>
    </w:tbl>
    <w:p>
      <w:pPr>
        <w:pStyle w:val="Heading2"/>
      </w:pPr>
      <w:r>
        <w:t xml:space="preserve">2.3 중기 (6~18개월): 현장 노하우 자산화 (Rule/Scenario 정립)</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526"/>
        <w:gridCol w:w="2500"/>
      </w:tblGrid>
      <w:tr>
        <w:tc>
          <w:tcPr>
            <w:tcW w:type="dxa" w:w="1500"/>
            <w:tcBorders>
              <w:top w:val="single" w:color="2E5090" w:sz="2"/>
              <w:left w:val="single" w:color="2E5090" w:sz="2"/>
              <w:bottom w:val="single" w:color="2E5090" w:sz="2"/>
              <w:right w:val="single" w:color="2E5090" w:sz="2"/>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항목</w:t>
            </w:r>
          </w:p>
        </w:tc>
        <w:tc>
          <w:tcPr>
            <w:tcW w:type="dxa" w:w="2500"/>
            <w:tcBorders>
              <w:top w:val="single" w:color="2E5090" w:sz="2"/>
              <w:left w:val="single" w:color="2E5090" w:sz="2"/>
              <w:bottom w:val="single" w:color="2E5090" w:sz="2"/>
              <w:right w:val="single" w:color="2E5090" w:sz="2"/>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핵심 실행 과제</w:t>
            </w:r>
          </w:p>
        </w:tc>
        <w:tc>
          <w:tcPr>
            <w:tcW w:type="dxa" w:w="2526"/>
            <w:tcBorders>
              <w:top w:val="single" w:color="2E5090" w:sz="2"/>
              <w:left w:val="single" w:color="2E5090" w:sz="2"/>
              <w:bottom w:val="single" w:color="2E5090" w:sz="2"/>
              <w:right w:val="single" w:color="2E5090" w:sz="2"/>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주요 산출물</w:t>
            </w:r>
          </w:p>
        </w:tc>
        <w:tc>
          <w:tcPr>
            <w:tcW w:type="dxa" w:w="2500"/>
            <w:tcBorders>
              <w:top w:val="single" w:color="2E5090" w:sz="2"/>
              <w:left w:val="single" w:color="2E5090" w:sz="2"/>
              <w:bottom w:val="single" w:color="2E5090" w:sz="2"/>
              <w:right w:val="single" w:color="2E5090" w:sz="2"/>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KPI</w:t>
            </w:r>
          </w:p>
        </w:tc>
      </w:tr>
      <w:tr>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목표</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숙련자 판단 기준을 Rule/Scenario로 구조화
이상/경고/정상 시나리오 정의
공정별 KPI 연계 및 검증</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운영 Rule 문서
시나리오 모델</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Rule 정립 건수
이상 탐지 정확도</w:t>
            </w:r>
          </w:p>
        </w:tc>
      </w:tr>
      <w:tr>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담당 조직</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생산기술, 현장엔지니어, 품질</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Human Brain의 노하우를 모델화</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A=정상, B=이상징후, C=고장진행 등 시나리오 정의</w:t>
            </w:r>
          </w:p>
        </w:tc>
      </w:tr>
    </w:tbl>
    <w:p>
      <w:pPr>
        <w:pStyle w:val="Heading2"/>
      </w:pPr>
      <w:r>
        <w:t xml:space="preserve">2.4 장기 (18~36개월): 지능형 운영 확산 (디지털트윈/AI 적용)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526"/>
        <w:gridCol w:w="2500"/>
      </w:tblGrid>
      <w:tr>
        <w:tc>
          <w:tcPr>
            <w:tcW w:type="dxa" w:w="1500"/>
            <w:tcBorders>
              <w:top w:val="single" w:color="2E5090" w:sz="2"/>
              <w:left w:val="single" w:color="2E5090" w:sz="2"/>
              <w:bottom w:val="single" w:color="2E5090" w:sz="2"/>
              <w:right w:val="single" w:color="2E5090" w:sz="2"/>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항목</w:t>
            </w:r>
          </w:p>
        </w:tc>
        <w:tc>
          <w:tcPr>
            <w:tcW w:type="dxa" w:w="2500"/>
            <w:tcBorders>
              <w:top w:val="single" w:color="2E5090" w:sz="2"/>
              <w:left w:val="single" w:color="2E5090" w:sz="2"/>
              <w:bottom w:val="single" w:color="2E5090" w:sz="2"/>
              <w:right w:val="single" w:color="2E5090" w:sz="2"/>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핵심 실행 과제</w:t>
            </w:r>
          </w:p>
        </w:tc>
        <w:tc>
          <w:tcPr>
            <w:tcW w:type="dxa" w:w="2526"/>
            <w:tcBorders>
              <w:top w:val="single" w:color="2E5090" w:sz="2"/>
              <w:left w:val="single" w:color="2E5090" w:sz="2"/>
              <w:bottom w:val="single" w:color="2E5090" w:sz="2"/>
              <w:right w:val="single" w:color="2E5090" w:sz="2"/>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주요 산출물</w:t>
            </w:r>
          </w:p>
        </w:tc>
        <w:tc>
          <w:tcPr>
            <w:tcW w:type="dxa" w:w="2500"/>
            <w:tcBorders>
              <w:top w:val="single" w:color="2E5090" w:sz="2"/>
              <w:left w:val="single" w:color="2E5090" w:sz="2"/>
              <w:bottom w:val="single" w:color="2E5090" w:sz="2"/>
              <w:right w:val="single" w:color="2E5090" w:sz="2"/>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KPI</w:t>
            </w:r>
          </w:p>
        </w:tc>
      </w:tr>
      <w:tr>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목표</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Light 디지털트윈 구축 및 AI 모델 연결
예측정비/품질예측/에너지 최적화
다공장 표준 확산 및 탄소 규제 대응</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AI 운영 모델
통합 대시보드</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불량률 감소
비가동 시간 감소
AI 활용률</w:t>
            </w:r>
          </w:p>
        </w:tc>
      </w:tr>
      <w:tr>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담당 조직</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DX 총괄, 경영혁신</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Light 디지털트윈 + AI Brain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가상 시뮬레이션 후 AI 자동 판단 체계 구축</w:t>
            </w:r>
          </w:p>
        </w:tc>
      </w:tr>
    </w:tbl>
    <w:p>
      <w:pPr>
        <w:spacing w:after="200" w:before="300"/>
        <w:jc w:val="center"/>
      </w:pPr>
      <w:r>
        <w:rPr>
          <w:rFonts w:ascii="Arial" w:cs="Arial" w:eastAsia="Arial" w:hAnsi="Arial"/>
          <w:b/>
          <w:bCs/>
          <w:color w:val="2E5090"/>
          <w:sz w:val="22"/>
          <w:szCs w:val="22"/>
        </w:rPr>
        <w:t xml:space="preserve">AAS(데이터 언어) → Rule/Scenario(사람의 경험) → Light 디지털트윈(가상 실험) → AI Brain(자동 판단)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7"/>
        <w:gridCol w:w="2256"/>
        <w:gridCol w:w="2257"/>
      </w:tblGrid>
      <w:tr>
        <w:tc>
          <w:tcPr>
            <w:tcW w:type="dxa" w:w="2256"/>
            <w:tcBorders>
              <w:top w:val="single" w:color="2E5090" w:sz="2"/>
              <w:left w:val="single" w:color="2E5090" w:sz="2"/>
              <w:bottom w:val="single" w:color="2E5090" w:sz="2"/>
              <w:right w:val="single" w:color="2E5090" w:sz="2"/>
            </w:tcBorders>
            <w:shd w:fill="3498D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AAS = 교과서</w:t>
            </w:r>
          </w:p>
        </w:tc>
        <w:tc>
          <w:tcPr>
            <w:tcW w:type="dxa" w:w="2257"/>
            <w:tcBorders>
              <w:top w:val="single" w:color="2E5090" w:sz="2"/>
              <w:left w:val="single" w:color="2E5090" w:sz="2"/>
              <w:bottom w:val="single" w:color="2E5090" w:sz="2"/>
              <w:right w:val="single" w:color="2E5090" w:sz="2"/>
            </w:tcBorders>
            <w:shd w:fill="2ECC7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Rule = 선생님의 경험</w:t>
            </w:r>
          </w:p>
        </w:tc>
        <w:tc>
          <w:tcPr>
            <w:tcW w:type="dxa" w:w="2256"/>
            <w:tcBorders>
              <w:top w:val="single" w:color="2E5090" w:sz="2"/>
              <w:left w:val="single" w:color="2E5090" w:sz="2"/>
              <w:bottom w:val="single" w:color="2E5090" w:sz="2"/>
              <w:right w:val="single" w:color="2E5090" w:sz="2"/>
            </w:tcBorders>
            <w:shd w:fill="E67E2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디지털트윈 = 모의시험</w:t>
            </w:r>
          </w:p>
        </w:tc>
        <w:tc>
          <w:tcPr>
            <w:tcW w:type="dxa" w:w="2257"/>
            <w:tcBorders>
              <w:top w:val="single" w:color="2E5090" w:sz="2"/>
              <w:left w:val="single" w:color="2E5090" w:sz="2"/>
              <w:bottom w:val="single" w:color="2E5090" w:sz="2"/>
              <w:right w:val="single" w:color="2E5090" w:sz="2"/>
            </w:tcBorders>
            <w:shd w:fill="9B59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AI Brain = 실전 능력</w:t>
            </w:r>
          </w:p>
        </w:tc>
      </w:tr>
    </w:tbl>
    <w:p>
      <w:r>
        <w:br w:type="page"/>
      </w:r>
    </w:p>
    <w:p>
      <w:pPr>
        <w:pStyle w:val="Heading1"/>
      </w:pPr>
      <w:r>
        <w:t xml:space="preserve">3. 단계별 기대 효과</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609"/>
        <w:gridCol w:w="5217"/>
      </w:tblGrid>
      <w:tr>
        <w:tc>
          <w:tcPr>
            <w:tcW w:type="dxa" w:w="1200"/>
            <w:tcBorders>
              <w:top w:val="single" w:color="2E5090" w:sz="2"/>
              <w:left w:val="single" w:color="2E5090" w:sz="2"/>
              <w:bottom w:val="single" w:color="2E5090" w:sz="2"/>
              <w:right w:val="single" w:color="2E5090" w:sz="2"/>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단계</w:t>
            </w:r>
          </w:p>
        </w:tc>
        <w:tc>
          <w:tcPr>
            <w:tcW w:type="dxa" w:w="2609"/>
            <w:tcBorders>
              <w:top w:val="single" w:color="2E5090" w:sz="2"/>
              <w:left w:val="single" w:color="2E5090" w:sz="2"/>
              <w:bottom w:val="single" w:color="2E5090" w:sz="2"/>
              <w:right w:val="single" w:color="2E5090" w:sz="2"/>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기대 효과</w:t>
            </w:r>
          </w:p>
        </w:tc>
        <w:tc>
          <w:tcPr>
            <w:tcW w:type="dxa" w:w="5217"/>
            <w:tcBorders>
              <w:top w:val="single" w:color="2E5090" w:sz="2"/>
              <w:left w:val="single" w:color="2E5090" w:sz="2"/>
              <w:bottom w:val="single" w:color="2E5090" w:sz="2"/>
              <w:right w:val="single" w:color="2E5090" w:sz="2"/>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상세 내용</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단기
기반 구축</w:t>
            </w:r>
          </w:p>
        </w:tc>
        <w:tc>
          <w:tcPr>
            <w:tcW w:type="dxa" w:w="260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원천 데이터의 진정한 자산화</w:t>
            </w:r>
          </w:p>
        </w:tc>
        <w:tc>
          <w:tcPr>
            <w:tcW w:type="dxa" w:w="5217"/>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데이터의 의미를 표준적으로 정의하여 특정 IT 플랫폼 종속(Lock-in)에서 탈피하고, 데이터 주권을 확보한다.</w:t>
            </w:r>
          </w:p>
        </w:tc>
      </w:tr>
      <w:tr>
        <w:tc>
          <w:tcPr>
            <w:tcW w:type="dxa" w:w="1200"/>
            <w:tcBorders>
              <w:top w:val="single" w:color="CCCCCC" w:sz="1"/>
              <w:left w:val="single" w:color="CCCCCC" w:sz="1"/>
              <w:bottom w:val="single" w:color="CCCCCC" w:sz="1"/>
              <w:right w:val="single" w:color="CCCCCC" w:sz="1"/>
            </w:tcBorders>
            <w:shd w:fill="E8F8E8"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중기
지식 내재화</w:t>
            </w:r>
          </w:p>
        </w:tc>
        <w:tc>
          <w:tcPr>
            <w:tcW w:type="dxa" w:w="260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시스템 기반 표준화된 의사결정</w:t>
            </w:r>
          </w:p>
        </w:tc>
        <w:tc>
          <w:tcPr>
            <w:tcW w:type="dxa" w:w="5217"/>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개인(사람) 경험에 의존하던 운영에서 Rule/Scenario 기반의 시스템 표준화된 의사결정 체계로 전환한다.</w:t>
            </w:r>
          </w:p>
        </w:tc>
      </w:tr>
      <w:tr>
        <w:tc>
          <w:tcPr>
            <w:tcW w:type="dxa" w:w="1200"/>
            <w:tcBorders>
              <w:top w:val="single" w:color="CCCCCC" w:sz="1"/>
              <w:left w:val="single" w:color="CCCCCC" w:sz="1"/>
              <w:bottom w:val="single" w:color="CCCCCC" w:sz="1"/>
              <w:right w:val="single" w:color="CCCCCC" w:sz="1"/>
            </w:tcBorders>
            <w:shd w:fill="FEF5E7"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장기
성과 창출</w:t>
            </w:r>
          </w:p>
        </w:tc>
        <w:tc>
          <w:tcPr>
            <w:tcW w:type="dxa" w:w="260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AI와 디지털트윈의 실제 경영 성과</w:t>
            </w:r>
          </w:p>
        </w:tc>
        <w:tc>
          <w:tcPr>
            <w:tcW w:type="dxa" w:w="5217"/>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일회성 기술 도입을 넘어 AI와 디지털트윈이 실제 경영 성과를 내는 운영체계를 완성한다.</w:t>
            </w:r>
          </w:p>
        </w:tc>
      </w:tr>
    </w:tbl>
    <w:p>
      <w:pPr>
        <w:pStyle w:val="Heading1"/>
      </w:pPr>
      <w:r>
        <w:t xml:space="preserve">4. 경영진 의사결정 사항</w:t>
      </w:r>
    </w:p>
    <w:p>
      <w:pPr>
        <w:pStyle w:val="ListParagraph"/>
        <w:numPr>
          <w:ilvl w:val="0"/>
          <w:numId w:val="2"/>
        </w:numPr>
        <w:spacing w:after="120"/>
      </w:pPr>
      <w:r>
        <w:rPr>
          <w:rFonts w:ascii="Arial" w:cs="Arial" w:eastAsia="Arial" w:hAnsi="Arial"/>
          <w:sz w:val="22"/>
          <w:szCs w:val="22"/>
        </w:rPr>
        <w:t xml:space="preserve">지금 바로 핵심 설비 파일럿 범위를 확정하고 최우선적으로 AAS 표준화 착수를 승인해야 합니다.</w:t>
      </w:r>
    </w:p>
    <w:p>
      <w:pPr>
        <w:pStyle w:val="ListParagraph"/>
        <w:numPr>
          <w:ilvl w:val="0"/>
          <w:numId w:val="2"/>
        </w:numPr>
        <w:spacing w:after="120"/>
      </w:pPr>
      <w:r>
        <w:rPr>
          <w:rFonts w:ascii="Arial" w:cs="Arial" w:eastAsia="Arial" w:hAnsi="Arial"/>
          <w:sz w:val="22"/>
          <w:szCs w:val="22"/>
        </w:rPr>
        <w:t xml:space="preserve">플랫폼을 먼저 선택하지 말고, AAS(데이터 의미 정의)를 먼저 완료한 뒤 최적의 플랫폼을 선택해야 데이터 주권을 지킬 수 있습니다.</w:t>
      </w:r>
    </w:p>
    <w:p>
      <w:pPr>
        <w:pStyle w:val="ListParagraph"/>
        <w:numPr>
          <w:ilvl w:val="0"/>
          <w:numId w:val="2"/>
        </w:numPr>
        <w:spacing w:after="200"/>
      </w:pPr>
      <w:r>
        <w:rPr>
          <w:rFonts w:ascii="Arial" w:cs="Arial" w:eastAsia="Arial" w:hAnsi="Arial"/>
          <w:sz w:val="22"/>
          <w:szCs w:val="22"/>
        </w:rPr>
        <w:t xml:space="preserve">AAS 기반 없이 AI/디지털트윈을 개별 추진하면 공정마다 모델을 재구축해야 하므로 중복 투자와 확산 실패가 반복됩니다.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392B" w:sz="4"/>
              <w:left w:val="single" w:color="C0392B" w:sz="4"/>
              <w:bottom w:val="single" w:color="C0392B" w:sz="4"/>
              <w:right w:val="single" w:color="C0392B" w:sz="4"/>
            </w:tcBorders>
            <w:shd w:fill="FDEDEC" w:val="clear"/>
            <w:tcMar>
              <w:top w:type="dxa" w:w="160"/>
              <w:left w:type="dxa" w:w="200"/>
              <w:bottom w:type="dxa" w:w="160"/>
              <w:right w:type="dxa" w:w="200"/>
            </w:tcMar>
          </w:tcPr>
          <w:p>
            <w:pPr>
              <w:jc w:val="center"/>
            </w:pPr>
            <w:r>
              <w:rPr>
                <w:rFonts w:ascii="Arial" w:cs="Arial" w:eastAsia="Arial" w:hAnsi="Arial"/>
                <w:b/>
                <w:bCs/>
                <w:color w:val="C0392B"/>
                <w:sz w:val="24"/>
                <w:szCs w:val="24"/>
              </w:rPr>
              <w:t xml:space="preserve">"AAS는 단순한 선택 기술이 아니라, 향후 제조 경쟁력과 AI 투자 성과를 좌우하는 필수 선행 인프라입니다."</w:t>
            </w:r>
          </w:p>
        </w:tc>
      </w:tr>
    </w:tbl>
    <w:p>
      <w:r>
        <w:br w:type="page"/>
      </w:r>
    </w:p>
    <w:p>
      <w:pPr>
        <w:pStyle w:val="Heading1"/>
      </w:pPr>
      <w:r>
        <w:t xml:space="preserve">5. AAS 도입 SWOT 분석</w:t>
      </w:r>
    </w:p>
    <w:p>
      <w:pPr>
        <w:spacing w:after="200"/>
      </w:pPr>
      <w:r>
        <w:rPr>
          <w:rFonts w:ascii="Arial" w:cs="Arial" w:eastAsia="Arial" w:hAnsi="Arial"/>
          <w:color w:val="444444"/>
          <w:sz w:val="22"/>
          <w:szCs w:val="22"/>
        </w:rPr>
        <w:t xml:space="preserve">AAS 도입에 대한 내부 역량과 외부 환경을 종합적으로 분석하여 전략적 의사결정을 지원한다.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27AE60" w:sz="3"/>
              <w:left w:val="single" w:color="27AE60" w:sz="3"/>
              <w:bottom w:val="none"/>
              <w:right w:val="single" w:color="DDDDDD" w:sz="1"/>
            </w:tcBorders>
            <w:shd w:fill="27AE60" w:val="clear"/>
            <w:tcMar>
              <w:top w:type="dxa" w:w="120"/>
              <w:left w:type="dxa" w:w="160"/>
              <w:bottom w:type="dxa" w:w="120"/>
              <w:right w:type="dxa" w:w="160"/>
            </w:tcMar>
          </w:tcPr>
          <w:p>
            <w:pPr>
              <w:jc w:val="center"/>
            </w:pPr>
            <w:r>
              <w:rPr>
                <w:rFonts w:ascii="Arial" w:cs="Arial" w:eastAsia="Arial" w:hAnsi="Arial"/>
                <w:b/>
                <w:bCs/>
                <w:color w:val="FFFFFF"/>
                <w:sz w:val="24"/>
                <w:szCs w:val="24"/>
              </w:rPr>
              <w:t xml:space="preserve">S - 강점 (Strengths)</w:t>
            </w:r>
          </w:p>
        </w:tc>
        <w:tc>
          <w:tcPr>
            <w:tcW w:type="dxa" w:w="4513"/>
            <w:tcBorders>
              <w:top w:val="single" w:color="E74C3C" w:sz="3"/>
              <w:left w:val="single" w:color="DDDDDD" w:sz="1"/>
              <w:bottom w:val="none"/>
              <w:right w:val="single" w:color="E74C3C" w:sz="3"/>
            </w:tcBorders>
            <w:shd w:fill="E74C3C" w:val="clear"/>
            <w:tcMar>
              <w:top w:type="dxa" w:w="120"/>
              <w:left w:type="dxa" w:w="160"/>
              <w:bottom w:type="dxa" w:w="120"/>
              <w:right w:type="dxa" w:w="160"/>
            </w:tcMar>
          </w:tcPr>
          <w:p>
            <w:pPr>
              <w:jc w:val="center"/>
            </w:pPr>
            <w:r>
              <w:rPr>
                <w:rFonts w:ascii="Arial" w:cs="Arial" w:eastAsia="Arial" w:hAnsi="Arial"/>
                <w:b/>
                <w:bCs/>
                <w:color w:val="FFFFFF"/>
                <w:sz w:val="24"/>
                <w:szCs w:val="24"/>
              </w:rPr>
              <w:t xml:space="preserve">W - 약점 (Weaknesses)</w:t>
            </w:r>
          </w:p>
        </w:tc>
      </w:tr>
      <w:tr>
        <w:tc>
          <w:tcPr>
            <w:tcW w:type="dxa" w:w="4513"/>
            <w:tcBorders>
              <w:top w:val="none"/>
              <w:left w:val="single" w:color="27AE60" w:sz="3"/>
              <w:bottom w:val="single" w:color="27AE60" w:sz="3"/>
              <w:right w:val="single" w:color="DDDDDD" w:sz="1"/>
            </w:tcBorders>
            <w:shd w:fill="EAFAF1" w:val="clear"/>
            <w:tcMar>
              <w:top w:type="dxa" w:w="120"/>
              <w:left w:type="dxa" w:w="160"/>
              <w:bottom w:type="dxa" w:w="120"/>
              <w:right w:type="dxa" w:w="160"/>
            </w:tcMar>
          </w:tcPr>
          <w:p>
            <w:pPr>
              <w:spacing w:after="80"/>
            </w:pPr>
            <w:r>
              <w:rPr>
                <w:rFonts w:ascii="Arial" w:cs="Arial" w:eastAsia="Arial" w:hAnsi="Arial"/>
                <w:color w:val="2C3E50"/>
                <w:sz w:val="20"/>
                <w:szCs w:val="20"/>
              </w:rPr>
              <w:t xml:space="preserve">▸ 국제 표준(IEC 63278) 기반으로 글로벌 호환성 확보</w:t>
            </w:r>
          </w:p>
          <w:p>
            <w:pPr>
              <w:spacing w:after="80"/>
            </w:pPr>
            <w:r>
              <w:rPr>
                <w:rFonts w:ascii="Arial" w:cs="Arial" w:eastAsia="Arial" w:hAnsi="Arial"/>
                <w:color w:val="2C3E50"/>
                <w:sz w:val="20"/>
                <w:szCs w:val="20"/>
              </w:rPr>
              <w:t xml:space="preserve">▸ 플랫폼 독립적 데이터 주권 확보 가능</w:t>
            </w:r>
          </w:p>
          <w:p>
            <w:pPr>
              <w:spacing w:after="80"/>
            </w:pPr>
            <w:r>
              <w:rPr>
                <w:rFonts w:ascii="Arial" w:cs="Arial" w:eastAsia="Arial" w:hAnsi="Arial"/>
                <w:color w:val="2C3E50"/>
                <w:sz w:val="20"/>
                <w:szCs w:val="20"/>
              </w:rPr>
              <w:t xml:space="preserve">▸ 점진적 도입 가능 (핵심 설비부터 확장)</w:t>
            </w:r>
          </w:p>
          <w:p>
            <w:pPr>
              <w:spacing w:after="80"/>
            </w:pPr>
            <w:r>
              <w:rPr>
                <w:rFonts w:ascii="Arial" w:cs="Arial" w:eastAsia="Arial" w:hAnsi="Arial"/>
                <w:color w:val="2C3E50"/>
                <w:sz w:val="20"/>
                <w:szCs w:val="20"/>
              </w:rPr>
              <w:t xml:space="preserve">▸ AI/디지털트윈/CBAM/DPP 등 다양한 후속 기술의 공통 기반 역할</w:t>
            </w:r>
          </w:p>
          <w:p>
            <w:pPr>
              <w:spacing w:after="80"/>
            </w:pPr>
            <w:r>
              <w:rPr>
                <w:rFonts w:ascii="Arial" w:cs="Arial" w:eastAsia="Arial" w:hAnsi="Arial"/>
                <w:color w:val="2C3E50"/>
                <w:sz w:val="20"/>
                <w:szCs w:val="20"/>
              </w:rPr>
              <w:t xml:space="preserve">▸ 숙련자 노하우의 체계적 조직 자산화</w:t>
            </w:r>
          </w:p>
        </w:tc>
        <w:tc>
          <w:tcPr>
            <w:tcW w:type="dxa" w:w="4513"/>
            <w:tcBorders>
              <w:top w:val="none"/>
              <w:left w:val="single" w:color="DDDDDD" w:sz="1"/>
              <w:bottom w:val="single" w:color="E74C3C" w:sz="3"/>
              <w:right w:val="single" w:color="E74C3C" w:sz="3"/>
            </w:tcBorders>
            <w:shd w:fill="FDEDEC" w:val="clear"/>
            <w:tcMar>
              <w:top w:type="dxa" w:w="120"/>
              <w:left w:type="dxa" w:w="160"/>
              <w:bottom w:type="dxa" w:w="120"/>
              <w:right w:type="dxa" w:w="160"/>
            </w:tcMar>
          </w:tcPr>
          <w:p>
            <w:pPr>
              <w:spacing w:after="80"/>
            </w:pPr>
            <w:r>
              <w:rPr>
                <w:rFonts w:ascii="Arial" w:cs="Arial" w:eastAsia="Arial" w:hAnsi="Arial"/>
                <w:color w:val="2C3E50"/>
                <w:sz w:val="20"/>
                <w:szCs w:val="20"/>
              </w:rPr>
              <w:t xml:space="preserve">▸ 초기 데이터 의미 정의 작업에 상당한 시간/인력 소요</w:t>
            </w:r>
          </w:p>
          <w:p>
            <w:pPr>
              <w:spacing w:after="80"/>
            </w:pPr>
            <w:r>
              <w:rPr>
                <w:rFonts w:ascii="Arial" w:cs="Arial" w:eastAsia="Arial" w:hAnsi="Arial"/>
                <w:color w:val="2C3E50"/>
                <w:sz w:val="20"/>
                <w:szCs w:val="20"/>
              </w:rPr>
              <w:t xml:space="preserve">▸ AAS 전문 인력 및 내부 역량 부족</w:t>
            </w:r>
          </w:p>
          <w:p>
            <w:pPr>
              <w:spacing w:after="80"/>
            </w:pPr>
            <w:r>
              <w:rPr>
                <w:rFonts w:ascii="Arial" w:cs="Arial" w:eastAsia="Arial" w:hAnsi="Arial"/>
                <w:color w:val="2C3E50"/>
                <w:sz w:val="20"/>
                <w:szCs w:val="20"/>
              </w:rPr>
              <w:t xml:space="preserve">▸ 단기적 ROI 가시화 어려움 (경영진 설득 난이도)</w:t>
            </w:r>
          </w:p>
          <w:p>
            <w:pPr>
              <w:spacing w:after="80"/>
            </w:pPr>
            <w:r>
              <w:rPr>
                <w:rFonts w:ascii="Arial" w:cs="Arial" w:eastAsia="Arial" w:hAnsi="Arial"/>
                <w:color w:val="2C3E50"/>
                <w:sz w:val="20"/>
                <w:szCs w:val="20"/>
              </w:rPr>
              <w:t xml:space="preserve">▸ 기존 레거시 시스템과의 통합 복잡성</w:t>
            </w:r>
          </w:p>
          <w:p>
            <w:pPr>
              <w:spacing w:after="80"/>
            </w:pPr>
            <w:r>
              <w:rPr>
                <w:rFonts w:ascii="Arial" w:cs="Arial" w:eastAsia="Arial" w:hAnsi="Arial"/>
                <w:color w:val="2C3E50"/>
                <w:sz w:val="20"/>
                <w:szCs w:val="20"/>
              </w:rPr>
              <w:t xml:space="preserve">▸ 조직 내 변화관리 및 현장 수용성 확보 과제</w:t>
            </w:r>
          </w:p>
        </w:tc>
      </w:tr>
      <w:tr>
        <w:tc>
          <w:tcPr>
            <w:tcW w:type="dxa" w:w="4513"/>
            <w:tcBorders>
              <w:top w:val="single" w:color="2980B9" w:sz="3"/>
              <w:left w:val="single" w:color="2980B9" w:sz="3"/>
              <w:bottom w:val="none"/>
              <w:right w:val="single" w:color="DDDDDD" w:sz="1"/>
            </w:tcBorders>
            <w:shd w:fill="2980B9" w:val="clear"/>
            <w:tcMar>
              <w:top w:type="dxa" w:w="120"/>
              <w:left w:type="dxa" w:w="160"/>
              <w:bottom w:type="dxa" w:w="120"/>
              <w:right w:type="dxa" w:w="160"/>
            </w:tcMar>
          </w:tcPr>
          <w:p>
            <w:pPr>
              <w:jc w:val="center"/>
            </w:pPr>
            <w:r>
              <w:rPr>
                <w:rFonts w:ascii="Arial" w:cs="Arial" w:eastAsia="Arial" w:hAnsi="Arial"/>
                <w:b/>
                <w:bCs/>
                <w:color w:val="FFFFFF"/>
                <w:sz w:val="24"/>
                <w:szCs w:val="24"/>
              </w:rPr>
              <w:t xml:space="preserve">O - 기회 (Opportunities)</w:t>
            </w:r>
          </w:p>
        </w:tc>
        <w:tc>
          <w:tcPr>
            <w:tcW w:type="dxa" w:w="4513"/>
            <w:tcBorders>
              <w:top w:val="single" w:color="F39C12" w:sz="3"/>
              <w:left w:val="single" w:color="DDDDDD" w:sz="1"/>
              <w:bottom w:val="none"/>
              <w:right w:val="single" w:color="F39C12" w:sz="3"/>
            </w:tcBorders>
            <w:shd w:fill="F39C12" w:val="clear"/>
            <w:tcMar>
              <w:top w:type="dxa" w:w="120"/>
              <w:left w:type="dxa" w:w="160"/>
              <w:bottom w:type="dxa" w:w="120"/>
              <w:right w:type="dxa" w:w="160"/>
            </w:tcMar>
          </w:tcPr>
          <w:p>
            <w:pPr>
              <w:jc w:val="center"/>
            </w:pPr>
            <w:r>
              <w:rPr>
                <w:rFonts w:ascii="Arial" w:cs="Arial" w:eastAsia="Arial" w:hAnsi="Arial"/>
                <w:b/>
                <w:bCs/>
                <w:color w:val="FFFFFF"/>
                <w:sz w:val="24"/>
                <w:szCs w:val="24"/>
              </w:rPr>
              <w:t xml:space="preserve">T - 위협 (Threats)</w:t>
            </w:r>
          </w:p>
        </w:tc>
      </w:tr>
      <w:tr>
        <w:tc>
          <w:tcPr>
            <w:tcW w:type="dxa" w:w="4513"/>
            <w:tcBorders>
              <w:top w:val="none"/>
              <w:left w:val="single" w:color="2980B9" w:sz="3"/>
              <w:bottom w:val="single" w:color="2980B9" w:sz="3"/>
              <w:right w:val="single" w:color="DDDDDD" w:sz="1"/>
            </w:tcBorders>
            <w:shd w:fill="EBF5FB" w:val="clear"/>
            <w:tcMar>
              <w:top w:type="dxa" w:w="120"/>
              <w:left w:type="dxa" w:w="160"/>
              <w:bottom w:type="dxa" w:w="120"/>
              <w:right w:type="dxa" w:w="160"/>
            </w:tcMar>
          </w:tcPr>
          <w:p>
            <w:pPr>
              <w:spacing w:after="80"/>
            </w:pPr>
            <w:r>
              <w:rPr>
                <w:rFonts w:ascii="Arial" w:cs="Arial" w:eastAsia="Arial" w:hAnsi="Arial"/>
                <w:color w:val="2C3E50"/>
                <w:sz w:val="20"/>
                <w:szCs w:val="20"/>
              </w:rPr>
              <w:t xml:space="preserve">▸ EU CBAM/DPP 등 탄소 규제 강화로 데이터 표준화 의무화 추세</w:t>
            </w:r>
          </w:p>
          <w:p>
            <w:pPr>
              <w:spacing w:after="80"/>
            </w:pPr>
            <w:r>
              <w:rPr>
                <w:rFonts w:ascii="Arial" w:cs="Arial" w:eastAsia="Arial" w:hAnsi="Arial"/>
                <w:color w:val="2C3E50"/>
                <w:sz w:val="20"/>
                <w:szCs w:val="20"/>
              </w:rPr>
              <w:t xml:space="preserve">▸ 정부 스마트제조 정책 지원 및 보조금 확대</w:t>
            </w:r>
          </w:p>
          <w:p>
            <w:pPr>
              <w:spacing w:after="80"/>
            </w:pPr>
            <w:r>
              <w:rPr>
                <w:rFonts w:ascii="Arial" w:cs="Arial" w:eastAsia="Arial" w:hAnsi="Arial"/>
                <w:color w:val="2C3E50"/>
                <w:sz w:val="20"/>
                <w:szCs w:val="20"/>
              </w:rPr>
              <w:t xml:space="preserve">▸ AI Agent 시대 도래로 표준화된 데이터의 가치 급상승</w:t>
            </w:r>
          </w:p>
          <w:p>
            <w:pPr>
              <w:spacing w:after="80"/>
            </w:pPr>
            <w:r>
              <w:rPr>
                <w:rFonts w:ascii="Arial" w:cs="Arial" w:eastAsia="Arial" w:hAnsi="Arial"/>
                <w:color w:val="2C3E50"/>
                <w:sz w:val="20"/>
                <w:szCs w:val="20"/>
              </w:rPr>
              <w:t xml:space="preserve">▸ 제조업 디지털 전환 가속화 (Industry 4.0/5.0)</w:t>
            </w:r>
          </w:p>
          <w:p>
            <w:pPr>
              <w:spacing w:after="80"/>
            </w:pPr>
            <w:r>
              <w:rPr>
                <w:rFonts w:ascii="Arial" w:cs="Arial" w:eastAsia="Arial" w:hAnsi="Arial"/>
                <w:color w:val="2C3E50"/>
                <w:sz w:val="20"/>
                <w:szCs w:val="20"/>
              </w:rPr>
              <w:t xml:space="preserve">▸ 데이터스페이스 기반 산업 생태계 확대</w:t>
            </w:r>
          </w:p>
        </w:tc>
        <w:tc>
          <w:tcPr>
            <w:tcW w:type="dxa" w:w="4513"/>
            <w:tcBorders>
              <w:top w:val="none"/>
              <w:left w:val="single" w:color="DDDDDD" w:sz="1"/>
              <w:bottom w:val="single" w:color="F39C12" w:sz="3"/>
              <w:right w:val="single" w:color="F39C12" w:sz="3"/>
            </w:tcBorders>
            <w:shd w:fill="FEF9E7" w:val="clear"/>
            <w:tcMar>
              <w:top w:type="dxa" w:w="120"/>
              <w:left w:type="dxa" w:w="160"/>
              <w:bottom w:type="dxa" w:w="120"/>
              <w:right w:type="dxa" w:w="160"/>
            </w:tcMar>
          </w:tcPr>
          <w:p>
            <w:pPr>
              <w:spacing w:after="80"/>
            </w:pPr>
            <w:r>
              <w:rPr>
                <w:rFonts w:ascii="Arial" w:cs="Arial" w:eastAsia="Arial" w:hAnsi="Arial"/>
                <w:color w:val="2C3E50"/>
                <w:sz w:val="20"/>
                <w:szCs w:val="20"/>
              </w:rPr>
              <w:t xml:space="preserve">▸ 경쟁사의 빠른 디지털 전환으로 선점 기회 상실 우려</w:t>
            </w:r>
          </w:p>
          <w:p>
            <w:pPr>
              <w:spacing w:after="80"/>
            </w:pPr>
            <w:r>
              <w:rPr>
                <w:rFonts w:ascii="Arial" w:cs="Arial" w:eastAsia="Arial" w:hAnsi="Arial"/>
                <w:color w:val="2C3E50"/>
                <w:sz w:val="20"/>
                <w:szCs w:val="20"/>
              </w:rPr>
              <w:t xml:space="preserve">▸ 글로벌 플랫폼 기업의 독자 표준 확대 (Lock-in 심화)</w:t>
            </w:r>
          </w:p>
          <w:p>
            <w:pPr>
              <w:spacing w:after="80"/>
            </w:pPr>
            <w:r>
              <w:rPr>
                <w:rFonts w:ascii="Arial" w:cs="Arial" w:eastAsia="Arial" w:hAnsi="Arial"/>
                <w:color w:val="2C3E50"/>
                <w:sz w:val="20"/>
                <w:szCs w:val="20"/>
              </w:rPr>
              <w:t xml:space="preserve">▸ AAS 표준 자체의 지속적 변화/업데이트 대응 부담</w:t>
            </w:r>
          </w:p>
          <w:p>
            <w:pPr>
              <w:spacing w:after="80"/>
            </w:pPr>
            <w:r>
              <w:rPr>
                <w:rFonts w:ascii="Arial" w:cs="Arial" w:eastAsia="Arial" w:hAnsi="Arial"/>
                <w:color w:val="2C3E50"/>
                <w:sz w:val="20"/>
                <w:szCs w:val="20"/>
              </w:rPr>
              <w:t xml:space="preserve">▸ 숙련 인력 퇴직에 따른 노하우 소실 가속화</w:t>
            </w:r>
          </w:p>
          <w:p>
            <w:pPr>
              <w:spacing w:after="80"/>
            </w:pPr>
            <w:r>
              <w:rPr>
                <w:rFonts w:ascii="Arial" w:cs="Arial" w:eastAsia="Arial" w:hAnsi="Arial"/>
                <w:color w:val="2C3E50"/>
                <w:sz w:val="20"/>
                <w:szCs w:val="20"/>
              </w:rPr>
              <w:t xml:space="preserve">▸ 사이버 보안 위협 증가 (데이터 표준화 시 공격 표면 확대)</w:t>
            </w:r>
          </w:p>
        </w:tc>
      </w:tr>
    </w:tbl>
    <w:p>
      <w:pPr>
        <w:pStyle w:val="Heading2"/>
      </w:pPr>
      <w:r>
        <w:t xml:space="preserve">5.1 강점 (Strengths) 상세</w:t>
      </w:r>
    </w:p>
    <w:p>
      <w:pPr>
        <w:spacing w:after="120"/>
      </w:pPr>
      <w:r>
        <w:rPr>
          <w:rFonts w:ascii="Arial" w:cs="Arial" w:eastAsia="Arial" w:hAnsi="Arial"/>
          <w:sz w:val="22"/>
          <w:szCs w:val="22"/>
        </w:rPr>
        <w:t xml:space="preserve">AAS는 IEC 63278 국제 표준에 기반하여 글로벌 제조 생태계와의 호환성을 보장한다. 특정 플랫폼에 종속되지 않는 데이터 주권을 확보할 수 있으며, 핵심 설비부터 시작하여 점진적으로 확장할 수 있는 구조를 가지고 있다. 또한 AI, 디지털트윈, CBAM, DPP 등 후속 기술들의 공통 기반 역할을 하여 중복 투자를 방지한다.</w:t>
      </w:r>
    </w:p>
    <w:p>
      <w:pPr>
        <w:pStyle w:val="Heading2"/>
      </w:pPr>
      <w:r>
        <w:t xml:space="preserve">5.2 약점 (Weaknesses) 상세</w:t>
      </w:r>
    </w:p>
    <w:p>
      <w:pPr>
        <w:spacing w:after="120"/>
      </w:pPr>
      <w:r>
        <w:rPr>
          <w:rFonts w:ascii="Arial" w:cs="Arial" w:eastAsia="Arial" w:hAnsi="Arial"/>
          <w:sz w:val="22"/>
          <w:szCs w:val="22"/>
        </w:rPr>
        <w:t xml:space="preserve">초기 데이터 의미 정의 작업은 설비별, 공정별로 세밀한 분석이 필요하여 상당한 시간과 전문 인력이 소요된다. 국내에서 AAS 전문 인력이 부족하고, 단기적으로 ROI를 가시화하기 어려워 경영진 설득에 어려움이 있을 수 있다. 또한 기존 레거시 시스템과의 통합 과정에서 예상치 못한 기술적 복잡성이 발생할 수 있다.</w:t>
      </w:r>
    </w:p>
    <w:p>
      <w:pPr>
        <w:pStyle w:val="Heading2"/>
      </w:pPr>
      <w:r>
        <w:t xml:space="preserve">5.3 기회 (Opportunities) 상세</w:t>
      </w:r>
    </w:p>
    <w:p>
      <w:pPr>
        <w:spacing w:after="120"/>
      </w:pPr>
      <w:r>
        <w:rPr>
          <w:rFonts w:ascii="Arial" w:cs="Arial" w:eastAsia="Arial" w:hAnsi="Arial"/>
          <w:sz w:val="22"/>
          <w:szCs w:val="22"/>
        </w:rPr>
        <w:t xml:space="preserve">EU의 CBAM(탄소국경조정메커니즘)과 DPP(디지털 제품 여권) 규제가 강화되면서 제조 데이터 표준화는 선택이 아닌 의무가 되어가고 있다. AI Agent 시대의 도래로 표준화된 데이터의 가치가 급상승하고 있으며, 정부의 스마트제조 정책 지원도 확대되고 있다. 산업 전반에서 데이터스페이스 기반 생태계가 확대되고 있어 선점 기업에 큰 이점이 있다.</w:t>
      </w:r>
    </w:p>
    <w:p>
      <w:pPr>
        <w:pStyle w:val="Heading2"/>
      </w:pPr>
      <w:r>
        <w:t xml:space="preserve">5.4 위협 (Threats) 상세</w:t>
      </w:r>
    </w:p>
    <w:p>
      <w:pPr>
        <w:spacing w:after="120"/>
      </w:pPr>
      <w:r>
        <w:rPr>
          <w:rFonts w:ascii="Arial" w:cs="Arial" w:eastAsia="Arial" w:hAnsi="Arial"/>
          <w:sz w:val="22"/>
          <w:szCs w:val="22"/>
        </w:rPr>
        <w:t xml:space="preserve">경쟁사들의 빠른 디지털 전환으로 선점 기회를 상실할 수 있으며, 글로벌 플랫폼 기업들이 독자 표준을 확대하면서 Lock-in이 더욱 심화될 우려가 있다. 숙련 인력의 퇴직이 가속화되면서 AAS에 담아야 할 현장 노하우가 소실될 위험이 있으며, 데이터 표준화에 따른 사이버 보안 공격 표면 확대도 고려해야 한다.</w:t>
      </w:r>
    </w:p>
    <w:p>
      <w:r>
        <w:br w:type="page"/>
      </w:r>
    </w:p>
    <w:p>
      <w:pPr>
        <w:pStyle w:val="Heading1"/>
      </w:pPr>
      <w:r>
        <w:t xml:space="preserve">6. 전략적 시사점 및 결론</w:t>
      </w:r>
    </w:p>
    <w:p>
      <w:pPr>
        <w:pStyle w:val="Heading2"/>
      </w:pPr>
      <w:r>
        <w:t xml:space="preserve">6.1 SWOT 기반 전략 방향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2E5090" w:sz="2"/>
              <w:left w:val="single" w:color="2E5090" w:sz="2"/>
              <w:bottom w:val="single" w:color="2E5090" w:sz="2"/>
              <w:right w:val="single" w:color="2E5090" w:sz="2"/>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전략 유형</w:t>
            </w:r>
          </w:p>
        </w:tc>
        <w:tc>
          <w:tcPr>
            <w:tcW w:type="dxa" w:w="7026"/>
            <w:tcBorders>
              <w:top w:val="single" w:color="2E5090" w:sz="2"/>
              <w:left w:val="single" w:color="2E5090" w:sz="2"/>
              <w:bottom w:val="single" w:color="2E5090" w:sz="2"/>
              <w:right w:val="single" w:color="2E5090" w:sz="2"/>
            </w:tcBorders>
            <w:shd w:fill="2E509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추진 방향</w:t>
            </w:r>
          </w:p>
        </w:tc>
      </w:tr>
      <w:tr>
        <w:tc>
          <w:tcPr>
            <w:tcW w:type="dxa" w:w="20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SO 전략
(강점-기회)</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국제 표준 기반의 AAS를 활용하여 CBAM/DPP 규제에 선제 대응하고, AI Agent 시대 데이터 경쟁력을 선점한다.</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WO 전략
(약점-기회)</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정부 지원 정책을 활용하여 초기 인력/비용 부담을 완화하고, 파일럿 성과를 통해 경영진 설득력을 확보한다.</w:t>
            </w:r>
          </w:p>
        </w:tc>
      </w:tr>
      <w:tr>
        <w:tc>
          <w:tcPr>
            <w:tcW w:type="dxa" w:w="20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ST 전략
(강점-위협)</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플랫폼 독립적 AAS의 강점을 활용하여 Lock-in 심화에 대비하고, 숙련자 노하우를 체계적으로 자산화하여 인력 소실에 대응한다.</w:t>
            </w:r>
          </w:p>
        </w:tc>
      </w:tr>
      <w:tr>
        <w:tc>
          <w:tcPr>
            <w:tcW w:type="dxa" w:w="20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WT 전략
(약점-위협)</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핵심 설비 중심 파일럿으로 리스크를 최소화하고, 외부 전문기관 협력을 통해 역량 부족과 보안 위협에 동시 대응한다.</w:t>
            </w:r>
          </w:p>
        </w:tc>
      </w:tr>
    </w:tbl>
    <w:p>
      <w:pPr>
        <w:pStyle w:val="Heading2"/>
      </w:pPr>
      <w:r>
        <w:t xml:space="preserve">6.2 최종 결론</w:t>
      </w:r>
    </w:p>
    <w:p>
      <w:pPr>
        <w:spacing w:after="120"/>
      </w:pPr>
      <w:r>
        <w:rPr>
          <w:rFonts w:ascii="Arial" w:cs="Arial" w:eastAsia="Arial" w:hAnsi="Arial"/>
          <w:sz w:val="22"/>
          <w:szCs w:val="22"/>
        </w:rPr>
        <w:t xml:space="preserve">AI 도입의 순서는 'AI → 데이터'가 아니라 'AAS → Rule → 디지털트윈 → AI'이다. AAS 없이 AI를 도입하면 공정마다, 공장마다, 플랫폼마다 다시 시작해야 한다. 반대로 AAS를 가진 기업은 어떤 AI를 쓰더라도, 어떤 플랫폼을 쓰더라도 자신의 언어 위에서 확장할 수 있다.</w:t>
      </w:r>
    </w:p>
    <w:p>
      <w:pPr>
        <w:spacing w:after="120"/>
      </w:pPr>
      <w:r>
        <w:rPr>
          <w:rFonts w:ascii="Arial" w:cs="Arial" w:eastAsia="Arial" w:hAnsi="Arial"/>
          <w:sz w:val="22"/>
          <w:szCs w:val="22"/>
        </w:rPr>
        <w:t xml:space="preserve">제조 경쟁력의 기준은 이미 달라지고 있다. 설비가 아니라 데이터, 자동화가 아니라 의미, 개별 최적화가 아니라 가치사슬 연결 능력이 경쟁력을 결정한다. 그리고 그 출발점이 바로 AAS다.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3764" w:sz="6"/>
              <w:left w:val="single" w:color="1A3764" w:sz="6"/>
              <w:bottom w:val="single" w:color="1A3764" w:sz="6"/>
              <w:right w:val="single" w:color="1A3764" w:sz="6"/>
            </w:tcBorders>
            <w:shd w:fill="1A3764" w:val="clear"/>
            <w:tcMar>
              <w:top w:type="dxa" w:w="200"/>
              <w:left w:type="dxa" w:w="300"/>
              <w:bottom w:type="dxa" w:w="200"/>
              <w:right w:type="dxa" w:w="300"/>
            </w:tcMar>
          </w:tcPr>
          <w:p>
            <w:pPr>
              <w:spacing w:after="80"/>
              <w:jc w:val="center"/>
            </w:pPr>
            <w:r>
              <w:rPr>
                <w:rFonts w:ascii="Arial" w:cs="Arial" w:eastAsia="Arial" w:hAnsi="Arial"/>
                <w:b/>
                <w:bCs/>
                <w:color w:val="FFFFFF"/>
                <w:sz w:val="28"/>
                <w:szCs w:val="28"/>
              </w:rPr>
              <w:t xml:space="preserve">AI를 먼저 사는 것이 아니라</w:t>
            </w:r>
          </w:p>
          <w:p>
            <w:pPr>
              <w:jc w:val="center"/>
            </w:pPr>
            <w:r>
              <w:rPr>
                <w:rFonts w:ascii="Arial" w:cs="Arial" w:eastAsia="Arial" w:hAnsi="Arial"/>
                <w:b/>
                <w:bCs/>
                <w:color w:val="F1C40F"/>
                <w:sz w:val="28"/>
                <w:szCs w:val="28"/>
              </w:rPr>
              <w:t xml:space="preserve">AI가 이해할 수 있는 환경을 먼저 만들어야 한다.</w:t>
            </w:r>
          </w:p>
          <w:p>
            <w:pPr>
              <w:spacing w:before="80"/>
              <w:jc w:val="center"/>
            </w:pPr>
            <w:r>
              <w:rPr>
                <w:rFonts w:ascii="Arial" w:cs="Arial" w:eastAsia="Arial" w:hAnsi="Arial"/>
                <w:b/>
                <w:bCs/>
                <w:color w:val="FFFFFF"/>
                <w:sz w:val="28"/>
                <w:szCs w:val="28"/>
              </w:rPr>
              <w:t xml:space="preserve">그 시작이 바로 AAS입니다.</w:t>
            </w:r>
          </w:p>
        </w:tc>
      </w:tr>
    </w:tbl>
    <w:sectPr>
      <w:headerReference w:type="default" r:id="rId9"/>
      <w:footerReference w:type="default" r:id="rId10"/>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090" w:sz="4" w:space="4"/>
      </w:pBdr>
      <w:tabs>
        <w:tab w:val="right" w:pos="9026"/>
      </w:tabs>
    </w:pPr>
    <w:r>
      <w:rPr>
        <w:rFonts w:ascii="Arial" w:cs="Arial" w:eastAsia="Arial" w:hAnsi="Arial"/>
        <w:color w:val="999999"/>
        <w:sz w:val="18"/>
        <w:szCs w:val="18"/>
      </w:rPr>
      <w:t xml:space="preserve">AAS 기반 제조 데이터 표준화 및 디지털트윈 실행계획서</w:t>
    </w:r>
    <w:r>
      <w:rPr>
        <w:rFonts w:ascii="Arial" w:cs="Arial" w:eastAsia="Arial" w:hAnsi="Arial"/>
        <w:sz w:val="18"/>
        <w:szCs w:val="18"/>
      </w:rPr>
      <w:t xml:space="preserve">	</w:t>
    </w:r>
    <w:r>
      <w:rPr>
        <w:rFonts w:ascii="Arial" w:cs="Arial" w:eastAsia="Arial" w:hAnsi="Arial"/>
        <w:color w:val="999999"/>
        <w:sz w:val="18"/>
        <w:szCs w:val="18"/>
      </w:rPr>
      <w:t xml:space="preserve">경영보고서 제 2026-03호</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090" w:sz="4" w:space="4"/>
      </w:pBdr>
      <w:tabs>
        <w:tab w:val="right" w:pos="9026"/>
      </w:tabs>
    </w:pPr>
    <w:r>
      <w:rPr>
        <w:rFonts w:ascii="Arial" w:cs="Arial" w:eastAsia="Arial" w:hAnsi="Arial"/>
        <w:color w:val="999999"/>
        <w:sz w:val="18"/>
        <w:szCs w:val="18"/>
      </w:rPr>
      <w:t xml:space="preserve">AAS 기반 제조 데이터 표준화 및 디지털트윈 실행계획서</w:t>
    </w:r>
    <w:r>
      <w:rPr>
        <w:rFonts w:ascii="Arial" w:cs="Arial" w:eastAsia="Arial" w:hAnsi="Arial"/>
        <w:sz w:val="18"/>
        <w:szCs w:val="18"/>
      </w:rPr>
      <w:t xml:space="preserve">	</w:t>
    </w:r>
    <w:r>
      <w:rPr>
        <w:rFonts w:ascii="Arial" w:cs="Arial" w:eastAsia="Arial" w:hAnsi="Arial"/>
        <w:color w:val="999999"/>
        <w:sz w:val="18"/>
        <w:szCs w:val="18"/>
      </w:rPr>
      <w:t xml:space="preserve">경영보고서 제 2026-03호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764"/>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509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A6B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2026-03-30T02:38:15.762Z</dcterms:created>
  <dcterms:modified xsi:type="dcterms:W3CDTF">2026-03-30T02:38:15.763Z</dcterms:modified>
</cp:coreProperties>
</file>

<file path=docProps/custom.xml><?xml version="1.0" encoding="utf-8"?>
<Properties xmlns="http://schemas.openxmlformats.org/officeDocument/2006/custom-properties" xmlns:vt="http://schemas.openxmlformats.org/officeDocument/2006/docPropsVTypes"/>
</file>