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b/>
          <w:bCs/>
          <w:sz w:val="24"/>
          <w:szCs w:val="24"/>
        </w:rPr>
      </w:pPr>
      <w:r>
        <w:rPr>
          <w:rFonts w:hint="eastAsia" w:ascii="黑体" w:hAnsi="黑体" w:eastAsia="黑体" w:cs="黑体"/>
          <w:b/>
          <w:bCs/>
          <w:sz w:val="24"/>
          <w:szCs w:val="24"/>
        </w:rPr>
        <w:t>•</w:t>
      </w:r>
      <w:r>
        <w:rPr>
          <w:rFonts w:hint="eastAsia" w:ascii="黑体" w:hAnsi="黑体" w:eastAsia="黑体" w:cs="黑体"/>
          <w:b/>
          <w:bCs/>
          <w:sz w:val="24"/>
          <w:szCs w:val="24"/>
        </w:rPr>
        <w:t>项目成本的一般来源</w:t>
      </w:r>
    </w:p>
    <w:p>
      <w:pPr>
        <w:ind w:firstLine="420" w:firstLineChars="200"/>
      </w:pPr>
      <w:r>
        <w:rPr>
          <w:rFonts w:hint="eastAsia"/>
        </w:rPr>
        <w:t>（1）</w:t>
      </w:r>
      <w:r>
        <w:rPr>
          <w:b/>
          <w:bCs/>
        </w:rPr>
        <w:t>人工成本</w:t>
      </w:r>
      <w:r>
        <w:t>。人工成本就是</w:t>
      </w:r>
      <w:r>
        <w:rPr>
          <w:highlight w:val="yellow"/>
        </w:rPr>
        <w:t>项目雇用人员和支付工资所耗费的成本</w:t>
      </w:r>
      <w:r>
        <w:t>。这种成本会因为项目所需人才的类型(技术型、半技术型、体力劳动型)而变得复杂。项目成本估算至少要考虑雇用员工、薪水、每小时工资率以及其他日常开支，如养老金、医疗保险费等。要对人工成本进行合理的初始估算，还需要估计员工在项目中投入的时间。</w:t>
      </w:r>
    </w:p>
    <w:p>
      <w:pPr>
        <w:ind w:firstLine="420" w:firstLineChars="200"/>
      </w:pPr>
      <w:r>
        <w:rPr>
          <w:rFonts w:hint="eastAsia"/>
        </w:rPr>
        <w:t>（2）</w:t>
      </w:r>
      <w:r>
        <w:rPr>
          <w:b/>
          <w:bCs/>
        </w:rPr>
        <w:t>材料成本</w:t>
      </w:r>
      <w:r>
        <w:t>。</w:t>
      </w:r>
      <w:bookmarkStart w:id="0" w:name="OLE_LINK1"/>
      <w:r>
        <w:t>材料成本就是项目团队为了完成任务而</w:t>
      </w:r>
      <w:r>
        <w:rPr>
          <w:highlight w:val="yellow"/>
        </w:rPr>
        <w:t>花费在具体设备和原材料上的成本</w:t>
      </w:r>
      <w:r>
        <w:t>。</w:t>
      </w:r>
      <w:bookmarkEnd w:id="0"/>
      <w:r>
        <w:t>对建筑项目而言，材料成本相当高，包括木材、壁板、绝缘材料、油漆、铺路材科等。对许多其他项目而言，材料成本可能相对较低，例如，购买一个能快速编译计算机代码的软件包。同样，许多服务行业的项目，其材料成本可能很低甚至没有。有些材料成本可以反映在日常开支中，例如，大型计算机的使用费可以按照“已经使用”的方式预先提取。</w:t>
      </w:r>
    </w:p>
    <w:p>
      <w:pPr>
        <w:ind w:firstLine="420" w:firstLineChars="200"/>
      </w:pPr>
      <w:r>
        <w:t>（</w:t>
      </w:r>
      <w:r>
        <w:rPr>
          <w:rFonts w:hint="eastAsia"/>
        </w:rPr>
        <w:t>3</w:t>
      </w:r>
      <w:r>
        <w:t>）</w:t>
      </w:r>
      <w:r>
        <w:rPr>
          <w:b/>
          <w:bCs/>
        </w:rPr>
        <w:t>分包成本</w:t>
      </w:r>
      <w:r>
        <w:t>。当</w:t>
      </w:r>
      <w:r>
        <w:rPr>
          <w:highlight w:val="yellow"/>
        </w:rPr>
        <w:t>分包商</w:t>
      </w:r>
      <w:r>
        <w:t>为项目提供资源(包括咨询服务和专业技术)时，其费用就应纳入初始成本估算，并反映在项目预算中。例如，分包成本可能是雇用一个营销专员来设计促销计划的费用，也可能是工业设计师设计具有吸引力的产品包装的费用。</w:t>
      </w:r>
    </w:p>
    <w:p>
      <w:pPr>
        <w:ind w:firstLine="420" w:firstLineChars="200"/>
      </w:pPr>
      <w:r>
        <w:t>（</w:t>
      </w:r>
      <w:r>
        <w:rPr>
          <w:rFonts w:hint="eastAsia"/>
        </w:rPr>
        <w:t>4</w:t>
      </w:r>
      <w:r>
        <w:t>）</w:t>
      </w:r>
      <w:r>
        <w:rPr>
          <w:b/>
          <w:bCs/>
        </w:rPr>
        <w:t>器材和设备成本</w:t>
      </w:r>
      <w:r>
        <w:t>。项目可能不在公司办公室进行，而要求员工在户外工作。</w:t>
      </w:r>
      <w:r>
        <w:rPr>
          <w:highlight w:val="yellow"/>
        </w:rPr>
        <w:t>办公室设备的租借费</w:t>
      </w:r>
      <w:r>
        <w:t>就包含在项目成本中。例如，在扩展时期，石油公司会定期派遣由四五个人组成的团队到主要分包商的总部工作。所有设备的租金和占地费用都是项目的成本。</w:t>
      </w:r>
    </w:p>
    <w:p>
      <w:pPr>
        <w:ind w:firstLine="420" w:firstLineChars="200"/>
      </w:pPr>
      <w:r>
        <w:t>（</w:t>
      </w:r>
      <w:r>
        <w:rPr>
          <w:rFonts w:hint="eastAsia"/>
        </w:rPr>
        <w:t>5</w:t>
      </w:r>
      <w:r>
        <w:t>）</w:t>
      </w:r>
      <w:r>
        <w:rPr>
          <w:b/>
          <w:bCs/>
        </w:rPr>
        <w:t>差旅成本</w:t>
      </w:r>
      <w:r>
        <w:t>。如果有必要，差旅费用(汽车租赁费、飞机票、住宿费、餐饮费)都应该作为项目预先提取的费用。</w:t>
      </w: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b/>
          <w:bCs/>
          <w:sz w:val="24"/>
          <w:szCs w:val="24"/>
        </w:rPr>
      </w:pPr>
      <w:r>
        <w:rPr>
          <w:rFonts w:hint="eastAsia" w:ascii="黑体" w:hAnsi="黑体" w:eastAsia="黑体" w:cs="黑体"/>
          <w:b/>
          <w:bCs/>
          <w:sz w:val="24"/>
          <w:szCs w:val="24"/>
        </w:rPr>
        <w:t>•项目成本的划分类型</w:t>
      </w:r>
    </w:p>
    <w:p>
      <w:pPr>
        <w:ind w:firstLine="420" w:firstLineChars="200"/>
      </w:pPr>
      <w:r>
        <w:rPr>
          <w:rFonts w:hint="eastAsia"/>
        </w:rPr>
        <w:t>项目成本可按照以下标准划分</w:t>
      </w:r>
      <w:r>
        <w:t>:类型（直接成本或间接成本）、发生频率（经常性成本或一次性成本）</w:t>
      </w:r>
      <w:r>
        <w:rPr>
          <w:rFonts w:hint="eastAsia"/>
        </w:rPr>
        <w:t>、</w:t>
      </w:r>
      <w:r>
        <w:t xml:space="preserve"> 变动机会（固定成本或变动成本）、速度（正常成本或加速成本）。下面来看看各种形式的项目成本。</w:t>
      </w:r>
    </w:p>
    <w:p>
      <w:pPr>
        <w:rPr>
          <w:b/>
          <w:bCs/>
        </w:rPr>
      </w:pPr>
      <w:r>
        <w:rPr>
          <w:rFonts w:hint="eastAsia"/>
          <w:b/>
          <w:bCs/>
        </w:rPr>
        <w:t>（1）直接/间接成本</w:t>
      </w:r>
    </w:p>
    <w:p>
      <w:pPr>
        <w:ind w:firstLine="422" w:firstLineChars="200"/>
      </w:pPr>
      <w:r>
        <w:rPr>
          <w:rFonts w:hint="eastAsia"/>
          <w:b/>
          <w:bCs/>
        </w:rPr>
        <w:t>直接成本</w:t>
      </w:r>
      <w:r>
        <w:t>( direct costs)是</w:t>
      </w:r>
      <w:r>
        <w:rPr>
          <w:highlight w:val="yellow"/>
        </w:rPr>
        <w:t>指直接分配到项目各个方面中所产生的成本</w:t>
      </w:r>
      <w:r>
        <w:t>，例如</w:t>
      </w:r>
      <w:r>
        <w:rPr>
          <w:highlight w:val="yellow"/>
        </w:rPr>
        <w:t>人工成本和材料成本</w:t>
      </w:r>
      <w:r>
        <w:t>。建筑工人的人工成本就是直接成本。但是，并非所有的人工成本都被视为项目的直接成本。例如，像</w:t>
      </w:r>
      <w:r>
        <w:rPr>
          <w:rFonts w:hint="eastAsia"/>
          <w:lang w:val="en-US" w:eastAsia="zh-CN"/>
        </w:rPr>
        <w:t>财务</w:t>
      </w:r>
      <w:r>
        <w:t>会计或其他项目资源等，这些支持人员的成本可能没有直接</w:t>
      </w:r>
      <w:r>
        <w:rPr>
          <w:rFonts w:hint="eastAsia"/>
        </w:rPr>
        <w:t>分配在项目中，尤其当他们同时监督多个同步进行的项目时。</w:t>
      </w:r>
    </w:p>
    <w:p>
      <w:pPr>
        <w:ind w:firstLine="420" w:firstLineChars="200"/>
      </w:pPr>
      <w:r>
        <w:rPr>
          <w:rFonts w:hint="eastAsia"/>
        </w:rPr>
        <w:t>在非工程性环境下，例如制造业，工人一般都分配到</w:t>
      </w:r>
      <w:r>
        <w:rPr>
          <w:rFonts w:hint="eastAsia"/>
          <w:lang w:val="en-US" w:eastAsia="zh-CN"/>
        </w:rPr>
        <w:t>指</w:t>
      </w:r>
      <w:r>
        <w:rPr>
          <w:rFonts w:hint="eastAsia"/>
        </w:rPr>
        <w:t>定的机床上，负责某些具体的操作或生产过程。这时，人工成本可以直接根据具体的工序来计算，计算直接人工总成本的公式可简化如下</w:t>
      </w:r>
    </w:p>
    <w:p>
      <w:pPr>
        <w:jc w:val="center"/>
      </w:pPr>
      <w:r>
        <w:rPr>
          <w:rFonts w:hint="eastAsia"/>
        </w:rPr>
        <w:t>直接人工总成本=直接人工费率</w:t>
      </w:r>
      <w:r>
        <w:t>x总工作时间</w:t>
      </w:r>
    </w:p>
    <w:p>
      <w:pPr>
        <w:ind w:firstLine="420" w:firstLineChars="200"/>
      </w:pPr>
      <w:r>
        <w:rPr>
          <w:rFonts w:hint="eastAsia"/>
        </w:rPr>
        <w:t>同样，只要确定完成项目所必需的材料，就容易计算直接材料成本。例如，搭建</w:t>
      </w:r>
      <w:r>
        <w:t>一座大桥，或为300名宾客准备一个会议晚宴，其成本就可以精确地计算。在项目中，这些成本可以用一种系统的方式跟踪。例如，根据物料清单或销售收据制定项目采购单，这种成本就可以直接体现在项目中。</w:t>
      </w:r>
    </w:p>
    <w:p>
      <w:pPr>
        <w:ind w:firstLine="420" w:firstLineChars="200"/>
      </w:pPr>
      <w:r>
        <w:rPr>
          <w:rFonts w:hint="eastAsia"/>
        </w:rPr>
        <w:t>另一方面，</w:t>
      </w:r>
      <w:r>
        <w:rPr>
          <w:b/>
          <w:bCs/>
        </w:rPr>
        <w:t>间接成本</w:t>
      </w:r>
      <w:r>
        <w:t>（</w:t>
      </w:r>
      <w:r>
        <w:rPr>
          <w:rFonts w:hint="eastAsia"/>
        </w:rPr>
        <w:t>i</w:t>
      </w:r>
      <w:r>
        <w:t xml:space="preserve">ndirect costs)则主要包括两个方面: </w:t>
      </w:r>
      <w:r>
        <w:rPr>
          <w:highlight w:val="yellow"/>
        </w:rPr>
        <w:t>日常开支和销售管理费用</w:t>
      </w:r>
      <w:r>
        <w:t>。</w:t>
      </w:r>
      <w:r>
        <w:rPr>
          <w:highlight w:val="yellow"/>
        </w:rPr>
        <w:t>日常开支是种最普通的</w:t>
      </w:r>
      <w:r>
        <w:rPr>
          <w:rFonts w:hint="eastAsia"/>
          <w:highlight w:val="yellow"/>
        </w:rPr>
        <w:t>间接</w:t>
      </w:r>
      <w:r>
        <w:rPr>
          <w:highlight w:val="yellow"/>
        </w:rPr>
        <w:t>成本</w:t>
      </w:r>
      <w:r>
        <w:t>，估算比较复杂。日常开支成本来源于间接材料，如器械</w:t>
      </w:r>
      <w:r>
        <w:rPr>
          <w:rFonts w:hint="eastAsia"/>
        </w:rPr>
        <w:t>、税款、</w:t>
      </w:r>
      <w:r>
        <w:t>保险、道具、修理、设备折旧以及员工的医疗和退休补助等。销售管理费用则</w:t>
      </w:r>
      <w:r>
        <w:rPr>
          <w:rFonts w:hint="eastAsia"/>
        </w:rPr>
        <w:t>包括广告费、运输费、销售人员工资、销售和秘书支持、销售佣金以及类似的费用。跟踪这些成本并不像跟踪直接成本那样容易，不同组织的情况有所不同。有些组织会在直接成本的基础上，按照一个固定的比例计算日常开支和管理费用。这个间接成本计算成熟的范</w:t>
      </w:r>
      <w:r>
        <w:t>围是20% ~ 50%。还有些公司会逐个分析，将间接成本分摊到多个项目中。无论使用哪种</w:t>
      </w:r>
      <w:r>
        <w:rPr>
          <w:rFonts w:hint="eastAsia"/>
        </w:rPr>
        <w:t>方法，需要强调的一点是，成本估算既包括直接成本也包括间接成本。</w:t>
      </w:r>
    </w:p>
    <w:p>
      <w:pPr>
        <w:rPr>
          <w:b/>
          <w:bCs/>
        </w:rPr>
      </w:pPr>
      <w:r>
        <w:rPr>
          <w:rFonts w:hint="eastAsia"/>
          <w:b/>
          <w:bCs/>
        </w:rPr>
        <w:t>（2）</w:t>
      </w:r>
      <w:r>
        <w:rPr>
          <w:b/>
          <w:bCs/>
        </w:rPr>
        <w:t>经常性成本</w:t>
      </w:r>
      <w:r>
        <w:rPr>
          <w:rFonts w:hint="eastAsia"/>
          <w:b/>
          <w:bCs/>
        </w:rPr>
        <w:t>/</w:t>
      </w:r>
      <w:r>
        <w:rPr>
          <w:b/>
          <w:bCs/>
        </w:rPr>
        <w:t>一次性成本</w:t>
      </w:r>
    </w:p>
    <w:p>
      <w:pPr>
        <w:ind w:firstLine="420" w:firstLineChars="200"/>
        <w:rPr>
          <w:rFonts w:hint="eastAsia"/>
        </w:rPr>
      </w:pPr>
      <w:r>
        <w:rPr>
          <w:rFonts w:hint="eastAsia"/>
        </w:rPr>
        <w:t>按照发生频率，成本可以分为经常性成本和一次性成本。</w:t>
      </w:r>
      <w:r>
        <w:rPr>
          <w:rFonts w:hint="eastAsia"/>
          <w:b/>
          <w:bCs/>
        </w:rPr>
        <w:t>一</w:t>
      </w:r>
      <w:r>
        <w:rPr>
          <w:b/>
          <w:bCs/>
        </w:rPr>
        <w:t>次性成本</w:t>
      </w:r>
      <w:r>
        <w:t>( nonrecurring costs)是指发生在项目开始或收尾阶段的一次性费用，比如市场调查、人员培训、(员工解雇后的)新职介绍等。</w:t>
      </w:r>
      <w:r>
        <w:rPr>
          <w:b/>
          <w:bCs/>
        </w:rPr>
        <w:t>经常性成本</w:t>
      </w:r>
      <w:r>
        <w:t>( recurring costs)是指在项目生命周期中重复发生的费用。大部分的人工、材料、物流和销售成本都是经常性成本，这些费用预算在项目实施过程中占了相当大的比例。在预算管理和成本估算中，有必要重视经常性成本和一次性成本。</w:t>
      </w:r>
    </w:p>
    <w:p>
      <w:pPr>
        <w:rPr>
          <w:b/>
          <w:bCs/>
        </w:rPr>
      </w:pPr>
      <w:r>
        <w:rPr>
          <w:rFonts w:hint="eastAsia"/>
          <w:b/>
          <w:bCs/>
        </w:rPr>
        <w:t>（3）</w:t>
      </w:r>
      <w:r>
        <w:rPr>
          <w:b/>
          <w:bCs/>
        </w:rPr>
        <w:t>固定</w:t>
      </w:r>
      <w:r>
        <w:rPr>
          <w:rFonts w:hint="eastAsia"/>
          <w:b/>
          <w:bCs/>
        </w:rPr>
        <w:t>/</w:t>
      </w:r>
      <w:r>
        <w:rPr>
          <w:b/>
          <w:bCs/>
        </w:rPr>
        <w:t>变动成本</w:t>
      </w:r>
    </w:p>
    <w:p>
      <w:pPr>
        <w:ind w:firstLine="420" w:firstLineChars="200"/>
        <w:rPr>
          <w:rFonts w:hint="eastAsia"/>
        </w:rPr>
      </w:pPr>
      <w:r>
        <w:rPr>
          <w:rFonts w:hint="eastAsia"/>
        </w:rPr>
        <w:t>在项目预算中，要注意区分固定成本和变动成本。</w:t>
      </w:r>
      <w:r>
        <w:rPr>
          <w:rFonts w:hint="eastAsia"/>
          <w:b/>
          <w:bCs/>
        </w:rPr>
        <w:t>固定成本</w:t>
      </w:r>
      <w:r>
        <w:t>( fixed costs),顾名思义，就是不随使用量变化的成本。例如，当租借大型设备或其他项目硬件时，租赁价格可能不会随着使用量的大小而上升或下降。</w:t>
      </w:r>
      <w:r>
        <w:rPr>
          <w:rFonts w:hint="eastAsia"/>
        </w:rPr>
        <w:t>一</w:t>
      </w:r>
      <w:r>
        <w:t>台机器，无论使用5小时还是50小时，租金都是相同的。项目经理在决定签署租借合同时，往往会考虑该设备创造的价值是不是大于其成本。</w:t>
      </w:r>
      <w:r>
        <w:rPr>
          <w:b/>
          <w:bCs/>
        </w:rPr>
        <w:t>变动成本</w:t>
      </w:r>
      <w:r>
        <w:t>( variable costs)是随使用量的变化而增加的成本，即与使用程度成正比。例如，假设在一个开采项目中使用一架昂贵的钻孔机。钻孔机由于使用而磨损，尤其是在地理条件艰</w:t>
      </w:r>
      <w:r>
        <w:rPr>
          <w:rFonts w:hint="eastAsia"/>
        </w:rPr>
        <w:t>苦的地方，磨损程度更严重。在这种情况下，它的变动成本与使用量成正比。有时候，</w:t>
      </w:r>
      <w:r>
        <w:t>变动成本还有多种类型，既有按固定比例变动的，也有按变动比例变动的。</w:t>
      </w:r>
    </w:p>
    <w:p>
      <w:pPr>
        <w:rPr>
          <w:b/>
          <w:bCs/>
        </w:rPr>
      </w:pPr>
      <w:r>
        <w:rPr>
          <w:rFonts w:hint="eastAsia"/>
          <w:b/>
          <w:bCs/>
        </w:rPr>
        <w:t>（4）</w:t>
      </w:r>
      <w:r>
        <w:rPr>
          <w:b/>
          <w:bCs/>
        </w:rPr>
        <w:t>正常</w:t>
      </w:r>
      <w:r>
        <w:rPr>
          <w:rFonts w:hint="eastAsia"/>
          <w:b/>
          <w:bCs/>
        </w:rPr>
        <w:t>/</w:t>
      </w:r>
      <w:r>
        <w:rPr>
          <w:b/>
          <w:bCs/>
        </w:rPr>
        <w:t>加速成本</w:t>
      </w:r>
    </w:p>
    <w:p>
      <w:pPr>
        <w:ind w:firstLine="420" w:firstLineChars="200"/>
      </w:pPr>
      <w:r>
        <w:rPr>
          <w:rFonts w:hint="eastAsia"/>
        </w:rPr>
        <w:t>在项目的开始阶段，所有干系人对初始项目进度计划达成共识，</w:t>
      </w:r>
      <w:r>
        <w:rPr>
          <w:rFonts w:hint="eastAsia"/>
          <w:highlight w:val="yellow"/>
        </w:rPr>
        <w:t>正常成本</w:t>
      </w:r>
      <w:r>
        <w:rPr>
          <w:highlight w:val="yellow"/>
        </w:rPr>
        <w:t>( normal costs)就是按照计划进度发生在项目工作中的成本。</w:t>
      </w:r>
      <w:r>
        <w:t>当然，计划进度也可以加快，但是加快进度会增加额外的成本。不过，这些成本都是以项目基准计划为基础的。</w:t>
      </w:r>
      <w:r>
        <w:rPr>
          <w:highlight w:val="yellow"/>
        </w:rPr>
        <w:t>加速成本(expedited costs) 是指在加快项目进度时所发生的计划外成本。</w:t>
      </w:r>
      <w:r>
        <w:t>例如，假设项目进度拖延，为了弥补失去的时间，管理层决定“赶工”。赶工( crashing)过程中可能涉及的成本包括:员工加班、雇用临时员工、联系外部资源或组织的帮助、在加速运送材料的过程中</w:t>
      </w:r>
      <w:r>
        <w:rPr>
          <w:rFonts w:hint="eastAsia"/>
        </w:rPr>
        <w:t>还会产生更高的运输和物流费用。</w:t>
      </w:r>
    </w:p>
    <w:p>
      <w:pPr>
        <w:ind w:firstLine="420" w:firstLineChars="200"/>
      </w:pPr>
      <w:r>
        <w:rPr>
          <w:rFonts w:hint="eastAsia"/>
        </w:rPr>
        <w:t>以上所有成本分类方法如表</w:t>
      </w:r>
      <w:r>
        <w:t>所示。首行是各种分类标准，即类型、频率、变动性和进度。最左边的一列列举了几种项目成本。从中可以看出，一种成本可按多个标准分类。例如，直接人工成本既是直接成本，也是经常性成本、固定成本、正常成本;而厂房租金则既是间接成本，也是经常性成本、固定成本、正常成本。由此，应该注意到一种项目成本可以归</w:t>
      </w:r>
      <w:r>
        <w:rPr>
          <w:rFonts w:hint="eastAsia"/>
        </w:rPr>
        <w:t>入</w:t>
      </w:r>
      <w:r>
        <w:t>多个成本类别中。</w:t>
      </w:r>
    </w:p>
    <w:p>
      <w:pPr>
        <w:jc w:val="center"/>
        <w:rPr>
          <w:rFonts w:hint="eastAsia"/>
        </w:rPr>
      </w:pPr>
      <w:r>
        <w:rPr>
          <w:rFonts w:hint="eastAsia"/>
        </w:rPr>
        <w:t>表</w:t>
      </w:r>
      <w:bookmarkStart w:id="1" w:name="_GoBack"/>
      <w:bookmarkEnd w:id="1"/>
      <w:r>
        <w:t xml:space="preserve"> </w:t>
      </w:r>
      <w:r>
        <w:rPr>
          <w:rFonts w:hint="eastAsia"/>
        </w:rPr>
        <w:t>成本分类</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850"/>
        <w:gridCol w:w="851"/>
        <w:gridCol w:w="992"/>
        <w:gridCol w:w="1064"/>
        <w:gridCol w:w="922"/>
        <w:gridCol w:w="922"/>
        <w:gridCol w:w="922"/>
        <w:gridCol w:w="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Merge w:val="restart"/>
            <w:tcBorders>
              <w:top w:val="single" w:color="auto" w:sz="12" w:space="0"/>
              <w:left w:val="nil"/>
              <w:right w:val="nil"/>
            </w:tcBorders>
          </w:tcPr>
          <w:p>
            <w:pPr>
              <w:spacing w:line="480" w:lineRule="auto"/>
              <w:rPr>
                <w:rFonts w:hint="eastAsia" w:ascii="宋体" w:hAnsi="宋体"/>
                <w:b/>
                <w:bCs/>
                <w:sz w:val="15"/>
                <w:szCs w:val="15"/>
              </w:rPr>
            </w:pPr>
            <w:r>
              <w:rPr>
                <w:rFonts w:hint="eastAsia" w:ascii="宋体" w:hAnsi="宋体"/>
                <w:b/>
                <w:bCs/>
                <w:sz w:val="15"/>
                <w:szCs w:val="15"/>
              </w:rPr>
              <w:t>成本</w:t>
            </w:r>
          </w:p>
        </w:tc>
        <w:tc>
          <w:tcPr>
            <w:tcW w:w="1701" w:type="dxa"/>
            <w:gridSpan w:val="2"/>
            <w:tcBorders>
              <w:top w:val="single" w:color="auto" w:sz="12" w:space="0"/>
              <w:left w:val="nil"/>
              <w:bottom w:val="nil"/>
              <w:right w:val="nil"/>
            </w:tcBorders>
          </w:tcPr>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dxa"/>
                  <w:tcBorders>
                    <w:top w:val="nil"/>
                    <w:left w:val="nil"/>
                    <w:bottom w:val="single" w:color="auto" w:sz="8" w:space="0"/>
                    <w:right w:val="nil"/>
                  </w:tcBorders>
                </w:tcPr>
                <w:p>
                  <w:pPr>
                    <w:jc w:val="center"/>
                    <w:rPr>
                      <w:rFonts w:hint="eastAsia" w:ascii="宋体" w:hAnsi="宋体"/>
                      <w:b/>
                      <w:bCs/>
                      <w:kern w:val="0"/>
                      <w:sz w:val="15"/>
                      <w:szCs w:val="15"/>
                    </w:rPr>
                  </w:pPr>
                  <w:r>
                    <w:rPr>
                      <w:rFonts w:hint="eastAsia" w:ascii="宋体" w:hAnsi="宋体"/>
                      <w:b/>
                      <w:bCs/>
                      <w:kern w:val="0"/>
                      <w:sz w:val="15"/>
                      <w:szCs w:val="15"/>
                    </w:rPr>
                    <w:t>类型</w:t>
                  </w:r>
                </w:p>
              </w:tc>
            </w:tr>
          </w:tbl>
          <w:p>
            <w:pPr>
              <w:rPr>
                <w:rFonts w:hint="eastAsia" w:ascii="宋体" w:hAnsi="宋体"/>
                <w:b/>
                <w:bCs/>
                <w:spacing w:val="200"/>
                <w:kern w:val="0"/>
                <w:sz w:val="15"/>
                <w:szCs w:val="15"/>
                <w:u w:val="single"/>
              </w:rPr>
            </w:pPr>
          </w:p>
        </w:tc>
        <w:tc>
          <w:tcPr>
            <w:tcW w:w="2056" w:type="dxa"/>
            <w:gridSpan w:val="2"/>
            <w:tcBorders>
              <w:top w:val="single" w:color="auto" w:sz="12" w:space="0"/>
              <w:left w:val="nil"/>
              <w:bottom w:val="nil"/>
              <w:right w:val="nil"/>
            </w:tcBorders>
          </w:tcPr>
          <w:tbl>
            <w:tblPr>
              <w:tblStyle w:val="5"/>
              <w:tblW w:w="0" w:type="auto"/>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0"/>
            </w:tblGrid>
            <w:tr>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PrEx>
              <w:trPr>
                <w:jc w:val="center"/>
              </w:trPr>
              <w:tc>
                <w:tcPr>
                  <w:tcW w:w="1830" w:type="dxa"/>
                </w:tcPr>
                <w:p>
                  <w:pPr>
                    <w:jc w:val="center"/>
                    <w:rPr>
                      <w:rFonts w:hint="eastAsia" w:ascii="宋体" w:hAnsi="宋体"/>
                      <w:b/>
                      <w:bCs/>
                      <w:sz w:val="15"/>
                      <w:szCs w:val="15"/>
                    </w:rPr>
                  </w:pPr>
                  <w:r>
                    <w:rPr>
                      <w:rFonts w:hint="eastAsia" w:ascii="宋体" w:hAnsi="宋体"/>
                      <w:b/>
                      <w:bCs/>
                      <w:sz w:val="15"/>
                      <w:szCs w:val="15"/>
                    </w:rPr>
                    <w:t>频率</w:t>
                  </w:r>
                </w:p>
              </w:tc>
            </w:tr>
          </w:tbl>
          <w:p>
            <w:pPr>
              <w:rPr>
                <w:rFonts w:hint="eastAsia" w:ascii="宋体" w:hAnsi="宋体"/>
                <w:b/>
                <w:bCs/>
                <w:sz w:val="15"/>
                <w:szCs w:val="15"/>
              </w:rPr>
            </w:pPr>
          </w:p>
        </w:tc>
        <w:tc>
          <w:tcPr>
            <w:tcW w:w="1844" w:type="dxa"/>
            <w:gridSpan w:val="2"/>
            <w:tcBorders>
              <w:top w:val="single" w:color="auto" w:sz="12" w:space="0"/>
              <w:left w:val="nil"/>
              <w:bottom w:val="nil"/>
              <w:right w:val="nil"/>
            </w:tcBorders>
          </w:tcPr>
          <w:tbl>
            <w:tblPr>
              <w:tblStyle w:val="5"/>
              <w:tblW w:w="0" w:type="auto"/>
              <w:tblInd w:w="0"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8"/>
            </w:tblGrid>
            <w:tr>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PrEx>
              <w:tc>
                <w:tcPr>
                  <w:tcW w:w="1618" w:type="dxa"/>
                </w:tcPr>
                <w:p>
                  <w:pPr>
                    <w:jc w:val="center"/>
                    <w:rPr>
                      <w:rFonts w:hint="eastAsia" w:ascii="宋体" w:hAnsi="宋体"/>
                      <w:b/>
                      <w:bCs/>
                      <w:sz w:val="15"/>
                      <w:szCs w:val="15"/>
                    </w:rPr>
                  </w:pPr>
                  <w:r>
                    <w:rPr>
                      <w:rFonts w:hint="eastAsia" w:ascii="宋体" w:hAnsi="宋体"/>
                      <w:b/>
                      <w:bCs/>
                      <w:sz w:val="15"/>
                      <w:szCs w:val="15"/>
                    </w:rPr>
                    <w:t>变动性</w:t>
                  </w:r>
                </w:p>
              </w:tc>
            </w:tr>
          </w:tbl>
          <w:p>
            <w:pPr>
              <w:rPr>
                <w:rFonts w:hint="eastAsia" w:ascii="宋体" w:hAnsi="宋体"/>
                <w:b/>
                <w:bCs/>
                <w:sz w:val="15"/>
                <w:szCs w:val="15"/>
              </w:rPr>
            </w:pPr>
          </w:p>
        </w:tc>
        <w:tc>
          <w:tcPr>
            <w:tcW w:w="1844" w:type="dxa"/>
            <w:gridSpan w:val="2"/>
            <w:tcBorders>
              <w:top w:val="single" w:color="auto" w:sz="12" w:space="0"/>
              <w:left w:val="nil"/>
              <w:bottom w:val="nil"/>
              <w:right w:val="nil"/>
            </w:tcBorders>
          </w:tcPr>
          <w:tbl>
            <w:tblPr>
              <w:tblStyle w:val="5"/>
              <w:tblW w:w="0" w:type="auto"/>
              <w:tblInd w:w="0"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8"/>
            </w:tblGrid>
            <w:tr>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PrEx>
              <w:tc>
                <w:tcPr>
                  <w:tcW w:w="1618" w:type="dxa"/>
                </w:tcPr>
                <w:p>
                  <w:pPr>
                    <w:jc w:val="center"/>
                    <w:rPr>
                      <w:rFonts w:hint="eastAsia" w:ascii="宋体" w:hAnsi="宋体"/>
                      <w:b/>
                      <w:bCs/>
                      <w:sz w:val="15"/>
                      <w:szCs w:val="15"/>
                    </w:rPr>
                  </w:pPr>
                  <w:r>
                    <w:rPr>
                      <w:rFonts w:hint="eastAsia" w:ascii="宋体" w:hAnsi="宋体"/>
                      <w:b/>
                      <w:bCs/>
                      <w:sz w:val="15"/>
                      <w:szCs w:val="15"/>
                    </w:rPr>
                    <w:t>进度</w:t>
                  </w:r>
                </w:p>
              </w:tc>
            </w:tr>
          </w:tbl>
          <w:p>
            <w:pPr>
              <w:rPr>
                <w:rFonts w:hint="eastAsia" w:ascii="宋体" w:hAnsi="宋体"/>
                <w:b/>
                <w:bCs/>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vMerge w:val="continue"/>
            <w:tcBorders>
              <w:left w:val="nil"/>
              <w:bottom w:val="single" w:color="auto" w:sz="8" w:space="0"/>
              <w:right w:val="nil"/>
            </w:tcBorders>
          </w:tcPr>
          <w:p>
            <w:pPr>
              <w:rPr>
                <w:rFonts w:hint="eastAsia" w:ascii="宋体" w:hAnsi="宋体"/>
                <w:b/>
                <w:bCs/>
                <w:sz w:val="15"/>
                <w:szCs w:val="15"/>
              </w:rPr>
            </w:pPr>
          </w:p>
        </w:tc>
        <w:tc>
          <w:tcPr>
            <w:tcW w:w="850" w:type="dxa"/>
            <w:tcBorders>
              <w:top w:val="nil"/>
              <w:left w:val="nil"/>
              <w:bottom w:val="single" w:color="auto" w:sz="8" w:space="0"/>
              <w:right w:val="nil"/>
            </w:tcBorders>
          </w:tcPr>
          <w:p>
            <w:pPr>
              <w:rPr>
                <w:rFonts w:hint="eastAsia" w:ascii="宋体" w:hAnsi="宋体"/>
                <w:b/>
                <w:bCs/>
                <w:sz w:val="15"/>
                <w:szCs w:val="15"/>
              </w:rPr>
            </w:pPr>
            <w:r>
              <w:rPr>
                <w:rFonts w:hint="eastAsia" w:ascii="宋体" w:hAnsi="宋体"/>
                <w:b/>
                <w:bCs/>
                <w:sz w:val="15"/>
                <w:szCs w:val="15"/>
              </w:rPr>
              <w:t>直接成本</w:t>
            </w:r>
          </w:p>
        </w:tc>
        <w:tc>
          <w:tcPr>
            <w:tcW w:w="851" w:type="dxa"/>
            <w:tcBorders>
              <w:top w:val="nil"/>
              <w:left w:val="nil"/>
              <w:bottom w:val="single" w:color="auto" w:sz="8" w:space="0"/>
              <w:right w:val="nil"/>
            </w:tcBorders>
          </w:tcPr>
          <w:p>
            <w:pPr>
              <w:rPr>
                <w:rFonts w:hint="eastAsia" w:ascii="宋体" w:hAnsi="宋体"/>
                <w:b/>
                <w:bCs/>
                <w:sz w:val="15"/>
                <w:szCs w:val="15"/>
              </w:rPr>
            </w:pPr>
            <w:r>
              <w:rPr>
                <w:rFonts w:hint="eastAsia" w:ascii="宋体" w:hAnsi="宋体"/>
                <w:b/>
                <w:bCs/>
                <w:sz w:val="15"/>
                <w:szCs w:val="15"/>
              </w:rPr>
              <w:t>间接成本</w:t>
            </w:r>
          </w:p>
        </w:tc>
        <w:tc>
          <w:tcPr>
            <w:tcW w:w="992" w:type="dxa"/>
            <w:tcBorders>
              <w:top w:val="nil"/>
              <w:left w:val="nil"/>
              <w:bottom w:val="single" w:color="auto" w:sz="8" w:space="0"/>
              <w:right w:val="nil"/>
            </w:tcBorders>
          </w:tcPr>
          <w:p>
            <w:pPr>
              <w:rPr>
                <w:rFonts w:hint="eastAsia" w:ascii="宋体" w:hAnsi="宋体"/>
                <w:b/>
                <w:bCs/>
                <w:sz w:val="15"/>
                <w:szCs w:val="15"/>
              </w:rPr>
            </w:pPr>
            <w:r>
              <w:rPr>
                <w:rFonts w:hint="eastAsia" w:ascii="宋体" w:hAnsi="宋体"/>
                <w:b/>
                <w:bCs/>
                <w:sz w:val="15"/>
                <w:szCs w:val="15"/>
              </w:rPr>
              <w:t>经常性成本</w:t>
            </w:r>
          </w:p>
        </w:tc>
        <w:tc>
          <w:tcPr>
            <w:tcW w:w="1064" w:type="dxa"/>
            <w:tcBorders>
              <w:top w:val="nil"/>
              <w:left w:val="nil"/>
              <w:bottom w:val="single" w:color="auto" w:sz="8" w:space="0"/>
              <w:right w:val="nil"/>
            </w:tcBorders>
          </w:tcPr>
          <w:p>
            <w:pPr>
              <w:rPr>
                <w:rFonts w:hint="eastAsia" w:ascii="宋体" w:hAnsi="宋体"/>
                <w:b/>
                <w:bCs/>
                <w:sz w:val="15"/>
                <w:szCs w:val="15"/>
              </w:rPr>
            </w:pPr>
            <w:r>
              <w:rPr>
                <w:rFonts w:hint="eastAsia" w:ascii="宋体" w:hAnsi="宋体"/>
                <w:b/>
                <w:bCs/>
                <w:sz w:val="15"/>
                <w:szCs w:val="15"/>
              </w:rPr>
              <w:t>一次性成本</w:t>
            </w:r>
          </w:p>
        </w:tc>
        <w:tc>
          <w:tcPr>
            <w:tcW w:w="922" w:type="dxa"/>
            <w:tcBorders>
              <w:top w:val="nil"/>
              <w:left w:val="nil"/>
              <w:bottom w:val="single" w:color="auto" w:sz="8" w:space="0"/>
              <w:right w:val="nil"/>
            </w:tcBorders>
          </w:tcPr>
          <w:p>
            <w:pPr>
              <w:rPr>
                <w:rFonts w:hint="eastAsia" w:ascii="宋体" w:hAnsi="宋体"/>
                <w:b/>
                <w:bCs/>
                <w:sz w:val="15"/>
                <w:szCs w:val="15"/>
              </w:rPr>
            </w:pPr>
            <w:r>
              <w:rPr>
                <w:rFonts w:hint="eastAsia" w:ascii="宋体" w:hAnsi="宋体"/>
                <w:b/>
                <w:bCs/>
                <w:sz w:val="15"/>
                <w:szCs w:val="15"/>
              </w:rPr>
              <w:t>固定成本</w:t>
            </w:r>
          </w:p>
        </w:tc>
        <w:tc>
          <w:tcPr>
            <w:tcW w:w="922" w:type="dxa"/>
            <w:tcBorders>
              <w:top w:val="nil"/>
              <w:left w:val="nil"/>
              <w:bottom w:val="single" w:color="auto" w:sz="8" w:space="0"/>
              <w:right w:val="nil"/>
            </w:tcBorders>
          </w:tcPr>
          <w:p>
            <w:pPr>
              <w:rPr>
                <w:rFonts w:hint="eastAsia" w:ascii="宋体" w:hAnsi="宋体"/>
                <w:b/>
                <w:bCs/>
                <w:sz w:val="15"/>
                <w:szCs w:val="15"/>
              </w:rPr>
            </w:pPr>
            <w:r>
              <w:rPr>
                <w:rFonts w:hint="eastAsia" w:ascii="宋体" w:hAnsi="宋体"/>
                <w:b/>
                <w:bCs/>
                <w:sz w:val="15"/>
                <w:szCs w:val="15"/>
              </w:rPr>
              <w:t>变动成本</w:t>
            </w:r>
          </w:p>
        </w:tc>
        <w:tc>
          <w:tcPr>
            <w:tcW w:w="922" w:type="dxa"/>
            <w:tcBorders>
              <w:top w:val="nil"/>
              <w:left w:val="nil"/>
              <w:bottom w:val="single" w:color="auto" w:sz="8" w:space="0"/>
              <w:right w:val="nil"/>
            </w:tcBorders>
          </w:tcPr>
          <w:p>
            <w:pPr>
              <w:rPr>
                <w:rFonts w:hint="eastAsia" w:ascii="宋体" w:hAnsi="宋体"/>
                <w:b/>
                <w:bCs/>
                <w:sz w:val="15"/>
                <w:szCs w:val="15"/>
              </w:rPr>
            </w:pPr>
            <w:r>
              <w:rPr>
                <w:rFonts w:hint="eastAsia" w:ascii="宋体" w:hAnsi="宋体"/>
                <w:b/>
                <w:bCs/>
                <w:sz w:val="15"/>
                <w:szCs w:val="15"/>
              </w:rPr>
              <w:t>正常成本</w:t>
            </w:r>
          </w:p>
        </w:tc>
        <w:tc>
          <w:tcPr>
            <w:tcW w:w="922" w:type="dxa"/>
            <w:tcBorders>
              <w:top w:val="nil"/>
              <w:left w:val="nil"/>
              <w:bottom w:val="single" w:color="auto" w:sz="8" w:space="0"/>
              <w:right w:val="nil"/>
            </w:tcBorders>
          </w:tcPr>
          <w:p>
            <w:pPr>
              <w:rPr>
                <w:rFonts w:hint="eastAsia" w:ascii="宋体" w:hAnsi="宋体"/>
                <w:b/>
                <w:bCs/>
                <w:sz w:val="15"/>
                <w:szCs w:val="15"/>
              </w:rPr>
            </w:pPr>
            <w:r>
              <w:rPr>
                <w:rFonts w:hint="eastAsia" w:ascii="宋体" w:hAnsi="宋体"/>
                <w:b/>
                <w:bCs/>
                <w:sz w:val="15"/>
                <w:szCs w:val="15"/>
              </w:rPr>
              <w:t>加速成本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Borders>
              <w:top w:val="single" w:color="auto" w:sz="8" w:space="0"/>
              <w:left w:val="nil"/>
              <w:bottom w:val="nil"/>
              <w:right w:val="nil"/>
            </w:tcBorders>
          </w:tcPr>
          <w:p>
            <w:pPr>
              <w:rPr>
                <w:rFonts w:hint="eastAsia" w:ascii="宋体" w:hAnsi="宋体"/>
                <w:sz w:val="15"/>
                <w:szCs w:val="15"/>
              </w:rPr>
            </w:pPr>
            <w:r>
              <w:rPr>
                <w:rFonts w:hint="eastAsia" w:ascii="宋体" w:hAnsi="宋体"/>
                <w:sz w:val="15"/>
                <w:szCs w:val="15"/>
              </w:rPr>
              <w:t>直接人工</w:t>
            </w:r>
          </w:p>
        </w:tc>
        <w:tc>
          <w:tcPr>
            <w:tcW w:w="850" w:type="dxa"/>
            <w:tcBorders>
              <w:top w:val="single" w:color="auto" w:sz="8" w:space="0"/>
              <w:left w:val="nil"/>
              <w:bottom w:val="nil"/>
              <w:right w:val="nil"/>
            </w:tcBorders>
          </w:tcPr>
          <w:p>
            <w:pPr>
              <w:jc w:val="center"/>
              <w:rPr>
                <w:rFonts w:hint="eastAsia" w:ascii="宋体" w:hAnsi="宋体"/>
                <w:sz w:val="15"/>
                <w:szCs w:val="15"/>
              </w:rPr>
            </w:pPr>
            <w:r>
              <w:rPr>
                <w:rFonts w:hint="eastAsia" w:ascii="宋体" w:hAnsi="宋体"/>
                <w:sz w:val="15"/>
                <w:szCs w:val="15"/>
              </w:rPr>
              <w:t>×</w:t>
            </w:r>
          </w:p>
        </w:tc>
        <w:tc>
          <w:tcPr>
            <w:tcW w:w="851" w:type="dxa"/>
            <w:tcBorders>
              <w:top w:val="single" w:color="auto" w:sz="8" w:space="0"/>
              <w:left w:val="nil"/>
              <w:bottom w:val="nil"/>
              <w:right w:val="nil"/>
            </w:tcBorders>
          </w:tcPr>
          <w:p>
            <w:pPr>
              <w:jc w:val="center"/>
              <w:rPr>
                <w:rFonts w:hint="eastAsia" w:ascii="宋体" w:hAnsi="宋体"/>
                <w:sz w:val="15"/>
                <w:szCs w:val="15"/>
              </w:rPr>
            </w:pPr>
          </w:p>
        </w:tc>
        <w:tc>
          <w:tcPr>
            <w:tcW w:w="992" w:type="dxa"/>
            <w:tcBorders>
              <w:top w:val="single" w:color="auto" w:sz="8" w:space="0"/>
              <w:left w:val="nil"/>
              <w:bottom w:val="nil"/>
              <w:right w:val="nil"/>
            </w:tcBorders>
          </w:tcPr>
          <w:p>
            <w:pPr>
              <w:jc w:val="center"/>
              <w:rPr>
                <w:rFonts w:hint="eastAsia" w:ascii="宋体" w:hAnsi="宋体"/>
                <w:sz w:val="15"/>
                <w:szCs w:val="15"/>
              </w:rPr>
            </w:pPr>
            <w:r>
              <w:rPr>
                <w:rFonts w:hint="eastAsia" w:ascii="宋体" w:hAnsi="宋体"/>
                <w:sz w:val="15"/>
                <w:szCs w:val="15"/>
              </w:rPr>
              <w:t>×</w:t>
            </w:r>
          </w:p>
        </w:tc>
        <w:tc>
          <w:tcPr>
            <w:tcW w:w="1064" w:type="dxa"/>
            <w:tcBorders>
              <w:top w:val="single" w:color="auto" w:sz="8" w:space="0"/>
              <w:left w:val="nil"/>
              <w:bottom w:val="nil"/>
              <w:right w:val="nil"/>
            </w:tcBorders>
          </w:tcPr>
          <w:p>
            <w:pPr>
              <w:jc w:val="center"/>
              <w:rPr>
                <w:rFonts w:hint="eastAsia" w:ascii="宋体" w:hAnsi="宋体"/>
                <w:sz w:val="15"/>
                <w:szCs w:val="15"/>
              </w:rPr>
            </w:pPr>
          </w:p>
        </w:tc>
        <w:tc>
          <w:tcPr>
            <w:tcW w:w="922" w:type="dxa"/>
            <w:tcBorders>
              <w:top w:val="single" w:color="auto" w:sz="8" w:space="0"/>
              <w:left w:val="nil"/>
              <w:bottom w:val="nil"/>
              <w:right w:val="nil"/>
            </w:tcBorders>
          </w:tcPr>
          <w:p>
            <w:pPr>
              <w:jc w:val="center"/>
              <w:rPr>
                <w:rFonts w:hint="eastAsia" w:ascii="宋体" w:hAnsi="宋体"/>
                <w:sz w:val="15"/>
                <w:szCs w:val="15"/>
              </w:rPr>
            </w:pPr>
            <w:r>
              <w:rPr>
                <w:rFonts w:hint="eastAsia" w:ascii="宋体" w:hAnsi="宋体"/>
                <w:sz w:val="15"/>
                <w:szCs w:val="15"/>
              </w:rPr>
              <w:t>×</w:t>
            </w:r>
          </w:p>
        </w:tc>
        <w:tc>
          <w:tcPr>
            <w:tcW w:w="922" w:type="dxa"/>
            <w:tcBorders>
              <w:top w:val="single" w:color="auto" w:sz="8" w:space="0"/>
              <w:left w:val="nil"/>
              <w:bottom w:val="nil"/>
              <w:right w:val="nil"/>
            </w:tcBorders>
          </w:tcPr>
          <w:p>
            <w:pPr>
              <w:jc w:val="center"/>
              <w:rPr>
                <w:rFonts w:hint="eastAsia" w:ascii="宋体" w:hAnsi="宋体"/>
                <w:sz w:val="15"/>
                <w:szCs w:val="15"/>
              </w:rPr>
            </w:pPr>
          </w:p>
        </w:tc>
        <w:tc>
          <w:tcPr>
            <w:tcW w:w="922" w:type="dxa"/>
            <w:tcBorders>
              <w:top w:val="single" w:color="auto" w:sz="8" w:space="0"/>
              <w:left w:val="nil"/>
              <w:bottom w:val="nil"/>
              <w:right w:val="nil"/>
            </w:tcBorders>
          </w:tcPr>
          <w:p>
            <w:pPr>
              <w:jc w:val="center"/>
              <w:rPr>
                <w:rFonts w:hint="eastAsia" w:ascii="宋体" w:hAnsi="宋体"/>
                <w:sz w:val="15"/>
                <w:szCs w:val="15"/>
              </w:rPr>
            </w:pPr>
            <w:r>
              <w:rPr>
                <w:rFonts w:hint="eastAsia" w:ascii="宋体" w:hAnsi="宋体"/>
                <w:sz w:val="15"/>
                <w:szCs w:val="15"/>
              </w:rPr>
              <w:t>×</w:t>
            </w:r>
          </w:p>
        </w:tc>
        <w:tc>
          <w:tcPr>
            <w:tcW w:w="922" w:type="dxa"/>
            <w:tcBorders>
              <w:top w:val="single" w:color="auto" w:sz="8" w:space="0"/>
              <w:left w:val="nil"/>
              <w:bottom w:val="nil"/>
              <w:right w:val="nil"/>
            </w:tcBorders>
          </w:tcPr>
          <w:p>
            <w:pPr>
              <w:jc w:val="center"/>
              <w:rPr>
                <w:rFonts w:hint="eastAsia" w:ascii="宋体" w:hAnsi="宋体"/>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Borders>
              <w:top w:val="nil"/>
              <w:left w:val="nil"/>
              <w:bottom w:val="nil"/>
              <w:right w:val="nil"/>
            </w:tcBorders>
          </w:tcPr>
          <w:p>
            <w:pPr>
              <w:rPr>
                <w:rFonts w:hint="eastAsia" w:ascii="宋体" w:hAnsi="宋体"/>
                <w:sz w:val="15"/>
                <w:szCs w:val="15"/>
              </w:rPr>
            </w:pPr>
            <w:r>
              <w:rPr>
                <w:rFonts w:hint="eastAsia" w:ascii="宋体" w:hAnsi="宋体"/>
                <w:sz w:val="15"/>
                <w:szCs w:val="15"/>
              </w:rPr>
              <w:t>厂房租金</w:t>
            </w:r>
          </w:p>
        </w:tc>
        <w:tc>
          <w:tcPr>
            <w:tcW w:w="850" w:type="dxa"/>
            <w:tcBorders>
              <w:top w:val="nil"/>
              <w:left w:val="nil"/>
              <w:bottom w:val="nil"/>
              <w:right w:val="nil"/>
            </w:tcBorders>
          </w:tcPr>
          <w:p>
            <w:pPr>
              <w:jc w:val="center"/>
              <w:rPr>
                <w:rFonts w:hint="eastAsia" w:ascii="宋体" w:hAnsi="宋体"/>
                <w:sz w:val="15"/>
                <w:szCs w:val="15"/>
              </w:rPr>
            </w:pPr>
          </w:p>
        </w:tc>
        <w:tc>
          <w:tcPr>
            <w:tcW w:w="851" w:type="dxa"/>
            <w:tcBorders>
              <w:top w:val="nil"/>
              <w:left w:val="nil"/>
              <w:bottom w:val="nil"/>
              <w:right w:val="nil"/>
            </w:tcBorders>
          </w:tcPr>
          <w:p>
            <w:pPr>
              <w:jc w:val="center"/>
              <w:rPr>
                <w:rFonts w:hint="eastAsia" w:ascii="宋体" w:hAnsi="宋体"/>
                <w:sz w:val="15"/>
                <w:szCs w:val="15"/>
              </w:rPr>
            </w:pPr>
            <w:r>
              <w:rPr>
                <w:rFonts w:hint="eastAsia" w:ascii="宋体" w:hAnsi="宋体"/>
                <w:sz w:val="15"/>
                <w:szCs w:val="15"/>
              </w:rPr>
              <w:t>×</w:t>
            </w:r>
          </w:p>
        </w:tc>
        <w:tc>
          <w:tcPr>
            <w:tcW w:w="992" w:type="dxa"/>
            <w:tcBorders>
              <w:top w:val="nil"/>
              <w:left w:val="nil"/>
              <w:bottom w:val="nil"/>
              <w:right w:val="nil"/>
            </w:tcBorders>
          </w:tcPr>
          <w:p>
            <w:pPr>
              <w:jc w:val="center"/>
              <w:rPr>
                <w:rFonts w:hint="eastAsia" w:ascii="宋体" w:hAnsi="宋体"/>
                <w:sz w:val="15"/>
                <w:szCs w:val="15"/>
              </w:rPr>
            </w:pPr>
            <w:r>
              <w:rPr>
                <w:rFonts w:hint="eastAsia" w:ascii="宋体" w:hAnsi="宋体"/>
                <w:sz w:val="15"/>
                <w:szCs w:val="15"/>
              </w:rPr>
              <w:t>×</w:t>
            </w:r>
          </w:p>
        </w:tc>
        <w:tc>
          <w:tcPr>
            <w:tcW w:w="1064" w:type="dxa"/>
            <w:tcBorders>
              <w:top w:val="nil"/>
              <w:left w:val="nil"/>
              <w:bottom w:val="nil"/>
              <w:right w:val="nil"/>
            </w:tcBorders>
          </w:tcPr>
          <w:p>
            <w:pPr>
              <w:jc w:val="center"/>
              <w:rPr>
                <w:rFonts w:hint="eastAsia" w:ascii="宋体" w:hAnsi="宋体"/>
                <w:sz w:val="15"/>
                <w:szCs w:val="15"/>
              </w:rPr>
            </w:pPr>
          </w:p>
        </w:tc>
        <w:tc>
          <w:tcPr>
            <w:tcW w:w="922" w:type="dxa"/>
            <w:tcBorders>
              <w:top w:val="nil"/>
              <w:left w:val="nil"/>
              <w:bottom w:val="nil"/>
              <w:right w:val="nil"/>
            </w:tcBorders>
          </w:tcPr>
          <w:p>
            <w:pPr>
              <w:jc w:val="center"/>
              <w:rPr>
                <w:rFonts w:hint="eastAsia" w:ascii="宋体" w:hAnsi="宋体"/>
                <w:sz w:val="15"/>
                <w:szCs w:val="15"/>
              </w:rPr>
            </w:pPr>
            <w:r>
              <w:rPr>
                <w:rFonts w:hint="eastAsia" w:ascii="宋体" w:hAnsi="宋体"/>
                <w:sz w:val="15"/>
                <w:szCs w:val="15"/>
              </w:rPr>
              <w:t>×</w:t>
            </w:r>
          </w:p>
        </w:tc>
        <w:tc>
          <w:tcPr>
            <w:tcW w:w="922" w:type="dxa"/>
            <w:tcBorders>
              <w:top w:val="nil"/>
              <w:left w:val="nil"/>
              <w:bottom w:val="nil"/>
              <w:right w:val="nil"/>
            </w:tcBorders>
          </w:tcPr>
          <w:p>
            <w:pPr>
              <w:jc w:val="center"/>
              <w:rPr>
                <w:rFonts w:hint="eastAsia" w:ascii="宋体" w:hAnsi="宋体"/>
                <w:sz w:val="15"/>
                <w:szCs w:val="15"/>
              </w:rPr>
            </w:pPr>
          </w:p>
        </w:tc>
        <w:tc>
          <w:tcPr>
            <w:tcW w:w="922" w:type="dxa"/>
            <w:tcBorders>
              <w:top w:val="nil"/>
              <w:left w:val="nil"/>
              <w:bottom w:val="nil"/>
              <w:right w:val="nil"/>
            </w:tcBorders>
          </w:tcPr>
          <w:p>
            <w:pPr>
              <w:jc w:val="center"/>
              <w:rPr>
                <w:rFonts w:hint="eastAsia" w:ascii="宋体" w:hAnsi="宋体"/>
                <w:sz w:val="15"/>
                <w:szCs w:val="15"/>
              </w:rPr>
            </w:pPr>
            <w:r>
              <w:rPr>
                <w:rFonts w:hint="eastAsia" w:ascii="宋体" w:hAnsi="宋体"/>
                <w:sz w:val="15"/>
                <w:szCs w:val="15"/>
              </w:rPr>
              <w:t>×</w:t>
            </w:r>
          </w:p>
        </w:tc>
        <w:tc>
          <w:tcPr>
            <w:tcW w:w="922" w:type="dxa"/>
            <w:tcBorders>
              <w:top w:val="nil"/>
              <w:left w:val="nil"/>
              <w:bottom w:val="nil"/>
              <w:right w:val="nil"/>
            </w:tcBorders>
          </w:tcPr>
          <w:p>
            <w:pPr>
              <w:jc w:val="center"/>
              <w:rPr>
                <w:rFonts w:hint="eastAsia" w:ascii="宋体" w:hAnsi="宋体"/>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Borders>
              <w:top w:val="nil"/>
              <w:left w:val="nil"/>
              <w:bottom w:val="nil"/>
              <w:right w:val="nil"/>
            </w:tcBorders>
          </w:tcPr>
          <w:p>
            <w:pPr>
              <w:rPr>
                <w:rFonts w:hint="eastAsia" w:ascii="宋体" w:hAnsi="宋体"/>
                <w:sz w:val="15"/>
                <w:szCs w:val="15"/>
              </w:rPr>
            </w:pPr>
            <w:r>
              <w:rPr>
                <w:rFonts w:hint="eastAsia" w:ascii="宋体" w:hAnsi="宋体"/>
                <w:sz w:val="15"/>
                <w:szCs w:val="15"/>
              </w:rPr>
              <w:t>加速成本</w:t>
            </w:r>
          </w:p>
        </w:tc>
        <w:tc>
          <w:tcPr>
            <w:tcW w:w="850" w:type="dxa"/>
            <w:tcBorders>
              <w:top w:val="nil"/>
              <w:left w:val="nil"/>
              <w:bottom w:val="nil"/>
              <w:right w:val="nil"/>
            </w:tcBorders>
          </w:tcPr>
          <w:p>
            <w:pPr>
              <w:jc w:val="center"/>
              <w:rPr>
                <w:rFonts w:hint="eastAsia" w:ascii="宋体" w:hAnsi="宋体"/>
                <w:sz w:val="15"/>
                <w:szCs w:val="15"/>
              </w:rPr>
            </w:pPr>
            <w:r>
              <w:rPr>
                <w:rFonts w:hint="eastAsia" w:ascii="宋体" w:hAnsi="宋体"/>
                <w:sz w:val="15"/>
                <w:szCs w:val="15"/>
              </w:rPr>
              <w:t>×</w:t>
            </w:r>
          </w:p>
        </w:tc>
        <w:tc>
          <w:tcPr>
            <w:tcW w:w="851" w:type="dxa"/>
            <w:tcBorders>
              <w:top w:val="nil"/>
              <w:left w:val="nil"/>
              <w:bottom w:val="nil"/>
              <w:right w:val="nil"/>
            </w:tcBorders>
          </w:tcPr>
          <w:p>
            <w:pPr>
              <w:jc w:val="center"/>
              <w:rPr>
                <w:rFonts w:hint="eastAsia" w:ascii="宋体" w:hAnsi="宋体"/>
                <w:sz w:val="15"/>
                <w:szCs w:val="15"/>
              </w:rPr>
            </w:pPr>
          </w:p>
        </w:tc>
        <w:tc>
          <w:tcPr>
            <w:tcW w:w="992" w:type="dxa"/>
            <w:tcBorders>
              <w:top w:val="nil"/>
              <w:left w:val="nil"/>
              <w:bottom w:val="nil"/>
              <w:right w:val="nil"/>
            </w:tcBorders>
          </w:tcPr>
          <w:p>
            <w:pPr>
              <w:jc w:val="center"/>
              <w:rPr>
                <w:rFonts w:hint="eastAsia" w:ascii="宋体" w:hAnsi="宋体"/>
                <w:sz w:val="15"/>
                <w:szCs w:val="15"/>
              </w:rPr>
            </w:pPr>
          </w:p>
        </w:tc>
        <w:tc>
          <w:tcPr>
            <w:tcW w:w="1064" w:type="dxa"/>
            <w:tcBorders>
              <w:top w:val="nil"/>
              <w:left w:val="nil"/>
              <w:bottom w:val="nil"/>
              <w:right w:val="nil"/>
            </w:tcBorders>
          </w:tcPr>
          <w:p>
            <w:pPr>
              <w:jc w:val="center"/>
              <w:rPr>
                <w:rFonts w:hint="eastAsia" w:ascii="宋体" w:hAnsi="宋体"/>
                <w:sz w:val="15"/>
                <w:szCs w:val="15"/>
              </w:rPr>
            </w:pPr>
            <w:r>
              <w:rPr>
                <w:rFonts w:hint="eastAsia" w:ascii="宋体" w:hAnsi="宋体"/>
                <w:sz w:val="15"/>
                <w:szCs w:val="15"/>
              </w:rPr>
              <w:t>×</w:t>
            </w:r>
          </w:p>
        </w:tc>
        <w:tc>
          <w:tcPr>
            <w:tcW w:w="922" w:type="dxa"/>
            <w:tcBorders>
              <w:top w:val="nil"/>
              <w:left w:val="nil"/>
              <w:bottom w:val="nil"/>
              <w:right w:val="nil"/>
            </w:tcBorders>
          </w:tcPr>
          <w:p>
            <w:pPr>
              <w:jc w:val="center"/>
              <w:rPr>
                <w:rFonts w:hint="eastAsia" w:ascii="宋体" w:hAnsi="宋体"/>
                <w:sz w:val="15"/>
                <w:szCs w:val="15"/>
              </w:rPr>
            </w:pPr>
          </w:p>
        </w:tc>
        <w:tc>
          <w:tcPr>
            <w:tcW w:w="922" w:type="dxa"/>
            <w:tcBorders>
              <w:top w:val="nil"/>
              <w:left w:val="nil"/>
              <w:bottom w:val="nil"/>
              <w:right w:val="nil"/>
            </w:tcBorders>
          </w:tcPr>
          <w:p>
            <w:pPr>
              <w:jc w:val="center"/>
              <w:rPr>
                <w:rFonts w:hint="eastAsia" w:ascii="宋体" w:hAnsi="宋体"/>
                <w:sz w:val="15"/>
                <w:szCs w:val="15"/>
              </w:rPr>
            </w:pPr>
            <w:r>
              <w:rPr>
                <w:rFonts w:hint="eastAsia" w:ascii="宋体" w:hAnsi="宋体"/>
                <w:sz w:val="15"/>
                <w:szCs w:val="15"/>
              </w:rPr>
              <w:t>×</w:t>
            </w:r>
          </w:p>
        </w:tc>
        <w:tc>
          <w:tcPr>
            <w:tcW w:w="922" w:type="dxa"/>
            <w:tcBorders>
              <w:top w:val="nil"/>
              <w:left w:val="nil"/>
              <w:bottom w:val="nil"/>
              <w:right w:val="nil"/>
            </w:tcBorders>
          </w:tcPr>
          <w:p>
            <w:pPr>
              <w:jc w:val="center"/>
              <w:rPr>
                <w:rFonts w:hint="eastAsia" w:ascii="宋体" w:hAnsi="宋体"/>
                <w:sz w:val="15"/>
                <w:szCs w:val="15"/>
              </w:rPr>
            </w:pPr>
          </w:p>
        </w:tc>
        <w:tc>
          <w:tcPr>
            <w:tcW w:w="922" w:type="dxa"/>
            <w:tcBorders>
              <w:top w:val="nil"/>
              <w:left w:val="nil"/>
              <w:bottom w:val="nil"/>
              <w:right w:val="nil"/>
            </w:tcBorders>
          </w:tcPr>
          <w:p>
            <w:pPr>
              <w:jc w:val="center"/>
              <w:rPr>
                <w:rFonts w:hint="eastAsia" w:ascii="宋体" w:hAnsi="宋体"/>
                <w:sz w:val="15"/>
                <w:szCs w:val="15"/>
              </w:rPr>
            </w:pPr>
            <w:r>
              <w:rPr>
                <w:rFonts w:hint="eastAsia" w:ascii="宋体" w:hAnsi="宋体"/>
                <w:sz w:val="15"/>
                <w:szCs w:val="15"/>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Borders>
              <w:top w:val="nil"/>
              <w:left w:val="nil"/>
              <w:bottom w:val="single" w:color="auto" w:sz="12" w:space="0"/>
              <w:right w:val="nil"/>
            </w:tcBorders>
          </w:tcPr>
          <w:p>
            <w:pPr>
              <w:rPr>
                <w:rFonts w:hint="eastAsia" w:ascii="宋体" w:hAnsi="宋体"/>
                <w:sz w:val="15"/>
                <w:szCs w:val="15"/>
              </w:rPr>
            </w:pPr>
            <w:r>
              <w:rPr>
                <w:rFonts w:hint="eastAsia" w:ascii="宋体" w:hAnsi="宋体"/>
                <w:sz w:val="15"/>
                <w:szCs w:val="15"/>
              </w:rPr>
              <w:t>材料</w:t>
            </w:r>
          </w:p>
        </w:tc>
        <w:tc>
          <w:tcPr>
            <w:tcW w:w="850" w:type="dxa"/>
            <w:tcBorders>
              <w:top w:val="nil"/>
              <w:left w:val="nil"/>
              <w:bottom w:val="single" w:color="auto" w:sz="12" w:space="0"/>
              <w:right w:val="nil"/>
            </w:tcBorders>
          </w:tcPr>
          <w:p>
            <w:pPr>
              <w:jc w:val="center"/>
              <w:rPr>
                <w:rFonts w:hint="eastAsia" w:ascii="宋体" w:hAnsi="宋体"/>
                <w:sz w:val="15"/>
                <w:szCs w:val="15"/>
              </w:rPr>
            </w:pPr>
            <w:r>
              <w:rPr>
                <w:rFonts w:hint="eastAsia" w:ascii="宋体" w:hAnsi="宋体"/>
                <w:sz w:val="15"/>
                <w:szCs w:val="15"/>
              </w:rPr>
              <w:t>×</w:t>
            </w:r>
          </w:p>
        </w:tc>
        <w:tc>
          <w:tcPr>
            <w:tcW w:w="851" w:type="dxa"/>
            <w:tcBorders>
              <w:top w:val="nil"/>
              <w:left w:val="nil"/>
              <w:bottom w:val="single" w:color="auto" w:sz="12" w:space="0"/>
              <w:right w:val="nil"/>
            </w:tcBorders>
          </w:tcPr>
          <w:p>
            <w:pPr>
              <w:jc w:val="center"/>
              <w:rPr>
                <w:rFonts w:hint="eastAsia" w:ascii="宋体" w:hAnsi="宋体"/>
                <w:sz w:val="15"/>
                <w:szCs w:val="15"/>
              </w:rPr>
            </w:pPr>
          </w:p>
        </w:tc>
        <w:tc>
          <w:tcPr>
            <w:tcW w:w="992" w:type="dxa"/>
            <w:tcBorders>
              <w:top w:val="nil"/>
              <w:left w:val="nil"/>
              <w:bottom w:val="single" w:color="auto" w:sz="12" w:space="0"/>
              <w:right w:val="nil"/>
            </w:tcBorders>
          </w:tcPr>
          <w:p>
            <w:pPr>
              <w:jc w:val="center"/>
              <w:rPr>
                <w:rFonts w:hint="eastAsia" w:ascii="宋体" w:hAnsi="宋体"/>
                <w:sz w:val="15"/>
                <w:szCs w:val="15"/>
              </w:rPr>
            </w:pPr>
            <w:r>
              <w:rPr>
                <w:rFonts w:hint="eastAsia" w:ascii="宋体" w:hAnsi="宋体"/>
                <w:sz w:val="15"/>
                <w:szCs w:val="15"/>
              </w:rPr>
              <w:t>×</w:t>
            </w:r>
          </w:p>
        </w:tc>
        <w:tc>
          <w:tcPr>
            <w:tcW w:w="1064" w:type="dxa"/>
            <w:tcBorders>
              <w:top w:val="nil"/>
              <w:left w:val="nil"/>
              <w:bottom w:val="single" w:color="auto" w:sz="12" w:space="0"/>
              <w:right w:val="nil"/>
            </w:tcBorders>
          </w:tcPr>
          <w:p>
            <w:pPr>
              <w:jc w:val="center"/>
              <w:rPr>
                <w:rFonts w:hint="eastAsia" w:ascii="宋体" w:hAnsi="宋体"/>
                <w:sz w:val="15"/>
                <w:szCs w:val="15"/>
              </w:rPr>
            </w:pPr>
          </w:p>
        </w:tc>
        <w:tc>
          <w:tcPr>
            <w:tcW w:w="922" w:type="dxa"/>
            <w:tcBorders>
              <w:top w:val="nil"/>
              <w:left w:val="nil"/>
              <w:bottom w:val="single" w:color="auto" w:sz="12" w:space="0"/>
              <w:right w:val="nil"/>
            </w:tcBorders>
          </w:tcPr>
          <w:p>
            <w:pPr>
              <w:jc w:val="center"/>
              <w:rPr>
                <w:rFonts w:hint="eastAsia" w:ascii="宋体" w:hAnsi="宋体"/>
                <w:sz w:val="15"/>
                <w:szCs w:val="15"/>
              </w:rPr>
            </w:pPr>
          </w:p>
        </w:tc>
        <w:tc>
          <w:tcPr>
            <w:tcW w:w="922" w:type="dxa"/>
            <w:tcBorders>
              <w:top w:val="nil"/>
              <w:left w:val="nil"/>
              <w:bottom w:val="single" w:color="auto" w:sz="12" w:space="0"/>
              <w:right w:val="nil"/>
            </w:tcBorders>
          </w:tcPr>
          <w:p>
            <w:pPr>
              <w:jc w:val="center"/>
              <w:rPr>
                <w:rFonts w:hint="eastAsia" w:ascii="宋体" w:hAnsi="宋体"/>
                <w:sz w:val="15"/>
                <w:szCs w:val="15"/>
              </w:rPr>
            </w:pPr>
            <w:r>
              <w:rPr>
                <w:rFonts w:hint="eastAsia" w:ascii="宋体" w:hAnsi="宋体"/>
                <w:sz w:val="15"/>
                <w:szCs w:val="15"/>
              </w:rPr>
              <w:t>×</w:t>
            </w:r>
          </w:p>
        </w:tc>
        <w:tc>
          <w:tcPr>
            <w:tcW w:w="922" w:type="dxa"/>
            <w:tcBorders>
              <w:top w:val="nil"/>
              <w:left w:val="nil"/>
              <w:bottom w:val="single" w:color="auto" w:sz="12" w:space="0"/>
              <w:right w:val="nil"/>
            </w:tcBorders>
          </w:tcPr>
          <w:p>
            <w:pPr>
              <w:jc w:val="center"/>
              <w:rPr>
                <w:rFonts w:hint="eastAsia" w:ascii="宋体" w:hAnsi="宋体"/>
                <w:sz w:val="15"/>
                <w:szCs w:val="15"/>
              </w:rPr>
            </w:pPr>
            <w:r>
              <w:rPr>
                <w:rFonts w:hint="eastAsia" w:ascii="宋体" w:hAnsi="宋体"/>
                <w:sz w:val="15"/>
                <w:szCs w:val="15"/>
              </w:rPr>
              <w:t>×</w:t>
            </w:r>
          </w:p>
        </w:tc>
        <w:tc>
          <w:tcPr>
            <w:tcW w:w="922" w:type="dxa"/>
            <w:tcBorders>
              <w:top w:val="nil"/>
              <w:left w:val="nil"/>
              <w:bottom w:val="single" w:color="auto" w:sz="12" w:space="0"/>
              <w:right w:val="nil"/>
            </w:tcBorders>
          </w:tcPr>
          <w:p>
            <w:pPr>
              <w:jc w:val="center"/>
              <w:rPr>
                <w:rFonts w:hint="eastAsia" w:ascii="宋体" w:hAnsi="宋体"/>
                <w:sz w:val="15"/>
                <w:szCs w:val="15"/>
              </w:rPr>
            </w:pPr>
          </w:p>
        </w:tc>
      </w:tr>
    </w:tbl>
    <w:p>
      <w:pPr>
        <w:rPr>
          <w:rFonts w:hint="eastAsia"/>
        </w:rPr>
      </w:pP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gyNTM0NDY2ZmFjYTliYjJhMmQ0YmIwNDUwMTMwMWQifQ=="/>
  </w:docVars>
  <w:rsids>
    <w:rsidRoot w:val="00D75059"/>
    <w:rsid w:val="00013E60"/>
    <w:rsid w:val="00045681"/>
    <w:rsid w:val="00122B4F"/>
    <w:rsid w:val="002A1B92"/>
    <w:rsid w:val="002A6D06"/>
    <w:rsid w:val="002F1144"/>
    <w:rsid w:val="00360A7B"/>
    <w:rsid w:val="003A49E9"/>
    <w:rsid w:val="003B01D0"/>
    <w:rsid w:val="00401792"/>
    <w:rsid w:val="00435CB1"/>
    <w:rsid w:val="004700ED"/>
    <w:rsid w:val="00510BD4"/>
    <w:rsid w:val="00575E5A"/>
    <w:rsid w:val="005E5A57"/>
    <w:rsid w:val="005F1357"/>
    <w:rsid w:val="005F1F22"/>
    <w:rsid w:val="006962D8"/>
    <w:rsid w:val="006A6790"/>
    <w:rsid w:val="006E0046"/>
    <w:rsid w:val="00797387"/>
    <w:rsid w:val="007B6E77"/>
    <w:rsid w:val="007E657E"/>
    <w:rsid w:val="008F2FF7"/>
    <w:rsid w:val="009466F8"/>
    <w:rsid w:val="00A44CCF"/>
    <w:rsid w:val="00AB7CDD"/>
    <w:rsid w:val="00B24CDE"/>
    <w:rsid w:val="00B35296"/>
    <w:rsid w:val="00B976CD"/>
    <w:rsid w:val="00BD51F7"/>
    <w:rsid w:val="00C414C5"/>
    <w:rsid w:val="00CD371C"/>
    <w:rsid w:val="00CF390C"/>
    <w:rsid w:val="00D13CA7"/>
    <w:rsid w:val="00D231DE"/>
    <w:rsid w:val="00D3635E"/>
    <w:rsid w:val="00D46C37"/>
    <w:rsid w:val="00D75059"/>
    <w:rsid w:val="00DA5DB3"/>
    <w:rsid w:val="00DF1CC1"/>
    <w:rsid w:val="00E1519B"/>
    <w:rsid w:val="00E36CA9"/>
    <w:rsid w:val="00E44EBE"/>
    <w:rsid w:val="00F10B46"/>
    <w:rsid w:val="00F32CFC"/>
    <w:rsid w:val="00FA3D99"/>
    <w:rsid w:val="00FD00B0"/>
    <w:rsid w:val="29A6739F"/>
    <w:rsid w:val="358A6290"/>
    <w:rsid w:val="48E55086"/>
    <w:rsid w:val="49587EC1"/>
    <w:rsid w:val="568E257F"/>
    <w:rsid w:val="68A7661C"/>
    <w:rsid w:val="74535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2407</Words>
  <Characters>2521</Characters>
  <Lines>26</Lines>
  <Paragraphs>7</Paragraphs>
  <TotalTime>295</TotalTime>
  <ScaleCrop>false</ScaleCrop>
  <LinksUpToDate>false</LinksUpToDate>
  <CharactersWithSpaces>2544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2020-10-30T05:19:00Z</dcterms:created>
  <dc:creator>宁霞 黄</dc:creator>
  <cp:lastModifiedBy>闫帅君</cp:lastModifiedBy>
  <dcterms:modified xsi:type="dcterms:W3CDTF">2023-11-15T05:34:52Z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E3D7FC261BF54531A2DA56AFA3ACAE5A</vt:lpwstr>
  </property>
</Properties>
</file>