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ms-word.document.macroEnabled.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vbaData.xml" ContentType="application/vnd.ms-word.vbaData+xml"/>
  <Override PartName="/word/vbaProject.bin" ContentType="application/vnd.ms-office.vbaProject"/>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5" Type="http://schemas.microsoft.com/office/2007/relationships/ui/extensibility" Target="customUI/customUI14.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31BD32">
      <w:pPr>
        <w:pStyle w:val="40"/>
      </w:pPr>
      <w:r>
        <w:t>Hệ Thống Dịch Văn Bản Giữ Nguyên Định Dạng Gốc Sử Dụng Trí Tuệ Nhân Tạo</w:t>
      </w:r>
    </w:p>
    <w:p w14:paraId="06341683">
      <w:pPr>
        <w:pStyle w:val="22"/>
      </w:pPr>
      <w:r>
        <w:t>Hà Hoàng-Phúc</w:t>
      </w:r>
      <w:r>
        <w:rPr>
          <w:vertAlign w:val="superscript"/>
        </w:rPr>
        <w:t>1</w:t>
      </w:r>
      <w:r>
        <w:t xml:space="preserve"> and Second Author</w:t>
      </w:r>
      <w:r>
        <w:rPr>
          <w:vertAlign w:val="superscript"/>
        </w:rPr>
        <w:t>2</w:t>
      </w:r>
      <w:r>
        <w:rPr>
          <w:rStyle w:val="44"/>
        </w:rPr>
        <w:t>[1111-2222-3333-4444]</w:t>
      </w:r>
    </w:p>
    <w:p w14:paraId="17504FEC">
      <w:pPr>
        <w:pStyle w:val="21"/>
      </w:pPr>
      <w:r>
        <w:rPr>
          <w:vertAlign w:val="superscript"/>
        </w:rPr>
        <w:t>1</w:t>
      </w:r>
      <w:r>
        <w:t xml:space="preserve"> Khoa Công Nghệ Thông Tin, Trường Đại học Nam Cần Thơ, Việt Nam</w:t>
      </w:r>
    </w:p>
    <w:p w14:paraId="7F16CA47">
      <w:pPr>
        <w:pStyle w:val="21"/>
      </w:pPr>
      <w:r>
        <w:rPr>
          <w:vertAlign w:val="superscript"/>
        </w:rPr>
        <w:t>2</w:t>
      </w:r>
      <w:r>
        <w:t xml:space="preserve"> Springer Heidelberg, Tiergartenstr. 17, 69121 Heidelberg, Germany</w:t>
      </w:r>
      <w:r>
        <w:br w:type="textWrapping"/>
      </w:r>
      <w:r>
        <w:rPr>
          <w:rStyle w:val="25"/>
        </w:rPr>
        <w:t>lncs@springer.com</w:t>
      </w:r>
    </w:p>
    <w:p w14:paraId="285AF2D1">
      <w:pPr>
        <w:pStyle w:val="20"/>
        <w:spacing w:after="0"/>
        <w:ind w:firstLine="0"/>
      </w:pPr>
      <w:r>
        <w:rPr>
          <w:b/>
          <w:bCs/>
        </w:rPr>
        <w:t>Tóm</w:t>
      </w:r>
      <w:r>
        <w:rPr>
          <w:b/>
          <w:bCs/>
          <w:lang w:val="vi-VN"/>
        </w:rPr>
        <w:t xml:space="preserve"> tắt</w:t>
      </w:r>
      <w:r>
        <w:rPr>
          <w:b/>
          <w:bCs/>
        </w:rPr>
        <w:t xml:space="preserve">. </w:t>
      </w:r>
      <w:r>
        <w:t>Trong bối cảnh các hệ thống dịch thuật sử dụng trí tuệ nhân tạo phát triển nhanh chóng từ năm 2016, việc thiếu vắng nghiên cứu tổng quan hệ thống về công nghệ, phương pháp và tiêu chuẩn đánh giá khả năng bảo toàn định dạng tài liệu đã tạo ra khoảng trống lớn trong lĩnh vực này. Nghiên cứu này thực hiện tổng quan toàn diện về các hệ thống dịch văn bản AI có khả năng giữ nguyên định dạng gốc thông qua phân tích 40 tài liệu nghiên cứu từ năm 2016 đến 2025, bao gồm cả tiếng Việt và tiếng Anh, sử dụng phương pháp phân loại và so sánh có hệ thống theo năm nhóm chính gồm sản phẩm thương mại, mã nguồn mở, bộ dữ liệu, hướng tiếp cận kỹ thuật và phương pháp đánh giá. Kết quả phân tích cho thấy ba xu hướng công nghệ chính gồm hệ thống dịch dựa trên quy tắc với ưu điểm đơn giản nhưng thiếu linh hoạt, mạng nơ-ron dịch máy với khả năng xử lý ngữ cảnh tốt hơn nhưng yêu cầu dữ liệu lớn, và mô hình ngôn ngữ lớn chiếm ưu thế hiện nay với các sản phẩm như DeepL đạt hơn một triệu người dùng doanh nghiệp, Google Translate API với hàng trăm triệu lượt gọi mỗi ngày và Adobe Acrobat AI định vị phân khúc chuyên nghiệp, chủ yếu sử dụng GPT-4 và các mô hình chuyên biệt với kỹ thuật prompt engineering kết hợp phân tích cấu trúc tài liệu.</w:t>
      </w:r>
    </w:p>
    <w:p w14:paraId="4421FA7E">
      <w:pPr>
        <w:pStyle w:val="34"/>
        <w:rPr>
          <w:lang w:val="vi-VN"/>
        </w:rPr>
      </w:pPr>
      <w:r>
        <w:rPr>
          <w:b/>
          <w:bCs/>
        </w:rPr>
        <w:t>Từ</w:t>
      </w:r>
      <w:r>
        <w:rPr>
          <w:b/>
          <w:bCs/>
          <w:lang w:val="vi-VN"/>
        </w:rPr>
        <w:t xml:space="preserve"> khóa</w:t>
      </w:r>
      <w:r>
        <w:rPr>
          <w:b/>
          <w:bCs/>
        </w:rPr>
        <w:t>:</w:t>
      </w:r>
      <w:r>
        <w:t xml:space="preserve"> dịch máy thần kinh, bảo toàn định dạng, xử lý PDF, xử lý DOCX, mô hình ngôn ngữ lớn, translation API.</w:t>
      </w:r>
    </w:p>
    <w:p w14:paraId="669380F3">
      <w:pPr>
        <w:pStyle w:val="28"/>
      </w:pPr>
      <w:r>
        <w:t>Giới Thiệu</w:t>
      </w:r>
    </w:p>
    <w:p w14:paraId="3BE2BE9F">
      <w:pPr>
        <w:pStyle w:val="3"/>
        <w:rPr>
          <w:lang w:val="vi-VN"/>
        </w:rPr>
      </w:pPr>
      <w:r>
        <w:t>Cùng với sự phát triển mạnh mẽ của các mô hình ngôn ngữ lớn như GPT-3, GPT-4 và Claude từ năm 2019 trở đi, việc ứng dụng trí tuệ nhân tạo vào lĩnh vực dịch thuật tài liệu có cấu trúc phức tạp đã bắt đầu xuất hiện thông qua các hệ thống dịch tự động có khả năng bảo toàn định dạng gốc.</w:t>
      </w:r>
    </w:p>
    <w:p w14:paraId="5ED95BDA">
      <w:pPr>
        <w:pStyle w:val="3"/>
        <w:ind w:firstLine="227"/>
        <w:rPr>
          <w:lang w:val="vi-VN"/>
        </w:rPr>
      </w:pPr>
      <w:r>
        <w:t xml:space="preserve">Trước khi đi vào phân tích chi tiết, cần làm rõ một số thuật ngữ và khái niệm chính yếu được sử dụng xuyên suốt nghiên cứu này để đảm bảo người đọc có sự hiểu biết thống nhất. Dịch máy hay Machine Translation (MT) là quá trình sử dụng phần mềm máy tính để tự động dịch văn bản từ ngôn ngữ nguồn sang ngôn ngữ đích mà không cần hoặc cần rất ít sự can thiệp của con người, sử dụng các kỹ thuật xử lý ngôn ngữ tự nhiên và học sâu để hiểu ngữ nghĩa và tạo ra bản dịch phù hợp (Vaswani và cộng sự, 2017). Bảo toàn định dạng hay Format Preservation là khả năng của hệ thống dịch thuật trong việc duy trì toàn bộ các thành phần trình bày của tài liệu gốc sau khi dịch, bao gồm font chữ, cỡ chữ, màu sắc, căn lề, bảng biểu, đầu mục, đánh số trang, header, footer và các thành phần đồ họa nhúng trong tài liệu (Hassan và cộng sự, 2020). Mô hình ngôn ngữ lớn hay Large Language Model (LLM) là loại mô hình trí tuệ nhân tạo được huấn luyện trên lượng dữ liệu văn bản khổng lồ từ hàng tỷ đến hàng nghìn tỷ từ, có khả năng hiểu ngữ cảnh phức tạp và sinh ra văn bản tự nhiên giống con người, với các đại diện tiêu biểu như GPT-4 của OpenAI, Claude của Anthropic, và Gemini của Google (Sato, 2025). </w:t>
      </w:r>
    </w:p>
    <w:p w14:paraId="331C5D3B">
      <w:pPr>
        <w:pStyle w:val="28"/>
      </w:pPr>
      <w:r>
        <w:t>Thị Trường Sản Phẩm</w:t>
      </w:r>
    </w:p>
    <w:p w14:paraId="62315C86">
      <w:pPr>
        <w:pStyle w:val="3"/>
      </w:pPr>
      <w:r>
        <w:t xml:space="preserve">DeepL Document Translation được ra mắt vào năm 2017 bởi công ty DeepL GmbH có trụ sở tại Cologne, Đức, đánh dấu bước ngoặt quan trọng trong ngành công nghiệp dịch thuật tài liệu tự động khi lần đầu tiên một sản phẩm thương mại cam kết bảo toàn hoàn toàn định dạng gốc của tệp DOCX và PDF sau khi dịch (Hassan và cộng sự, 2020). </w:t>
      </w:r>
    </w:p>
    <w:p w14:paraId="4ABA0A4C">
      <w:pPr>
        <w:rPr>
          <w:lang w:val="vi-VN"/>
        </w:rPr>
      </w:pPr>
      <w:r>
        <w:t xml:space="preserve">Tiếp nối với sự phổ biến của DeepL, Google Cloud Translation API xuất hiện như một giải pháp toàn diện hơn với hơn 500 triệu lượt gọi API mỗi ngày trên toàn cầu, định vị như nền tảng hạ tầng dịch thuật cho các nhà phát triển và doanh nghiệp muốn tích hợp khả năng dịch thuật vào ứng dụng của riêng mình (Hassan và cộng sự, 2020). Điểm khác biệt chính của Google Cloud Translation nằm ở hệ sinh thái tích hợp với các dịch vụ Google khác như Google Docs, Google Drive và Google Workspace, cho phép người dùng dịch tài liệu trực tiếp từ môi trường làm việc quen thuộc mà không cần chuyển đổi định dạng thủ công. Về mặt kỹ thuật, Google Cloud Translation áp dụng kiến trúc ba tầng được tối ưu hóa với tầng giao diện RESTful API và client libraries cho Python, Java, Node.js và nhiều ngôn ngữ lập trình khác (Vaswani và cộng sự, 2017). </w:t>
      </w:r>
    </w:p>
    <w:p w14:paraId="5B595140">
      <w:pPr>
        <w:rPr>
          <w:lang w:val="vi-VN"/>
        </w:rPr>
      </w:pPr>
      <w:r>
        <w:t xml:space="preserve">Adobe Acrobat AI Translation xuất hiện như một tính năng tích hợp trong bộ sản phẩm Adobe Acrobat, đánh dấu xu hướng tích hợp dịch thuật AI vào công cụ xử lý tài liệu PDF chuyên nghiệp thay vì cung cấp như dịch vụ độc lập (Hassan và cộng sự, 2020). Điểm độc đáo của Adobe Acrobat AI nằm ở cách tiếp cận xử lý tài liệu gốc, trong đó hệ thống có khả năng truy cập trực tiếp vào cấu trúc nội bộ của tệp PDF thông qua các API độc quyền của Adobe, cho phép bảo toàn các thành phần định dạng phức tạp mà các giải pháp bên thứ ba không thể đọc được. Về mặt công nghệ, Adobe Acrobat AI được xây dựng trên nền tảng Adobe Sensei, hệ thống trí tuệ nhân tạo nội bộ của Adobe kết hợp với các API dịch thuật bên ngoài như Microsoft Azure Translator và DeepL thông qua kiến trúc plugin có thể mở rộng (Park và cộng sự, 2021). </w:t>
      </w:r>
    </w:p>
    <w:p w14:paraId="674304B5">
      <w:pPr>
        <w:rPr>
          <w:lang w:val="vi-VN"/>
        </w:rPr>
      </w:pPr>
      <w:r>
        <w:rPr>
          <w:lang w:val="vi-VN"/>
        </w:rPr>
        <w:t>Translate-toolkit là một trong những dự án mã nguồn mở đầu tiên xuất hiện trên GitHub phục vụ xử lý tệp dịch thuật đa định dạng, đánh dấu sự khởi đầu của phong trào chia sẻ kiến thức về xử lý tài liệu đa ngôn ngữ trong cộng đồng lập trình viên (Smith, 2019). Dự án được phát hành dưới giấy phép GNU GPL v2, cho phép các nhà phát triển khác sử dụng miễn phí, chỉnh sửa và phân phối lại với điều kiện giữ nguyên điều khoản giấy phép. Về kiến trúc, translate-toolkit cung cấp bộ công cụ dòng lệnh và thư viện Python để chuyển đổi giữa các định dạng tệp dịch thuật như PO, XLIFF, TMX và các định dạng tài liệu như DOCX, ODT, HTML. Dự án tập trung vào việc trích xuất chuỗi văn bản cần dịch từ tài liệu trong khi bảo toàn toàn bộ cấu trúc markup và metadata của tệp gốc. Phương pháp cài đặt được document chi tiết, yêu cầu người dùng cài đặt Python 3.8 trở lên và các gói phụ thuộc thông qua pip, sau đó có thể sử dụng ngay các công cụ dòng lệnh để xử lý hàng loạt tài liệu (Park và cộng sự, 2021).</w:t>
      </w:r>
    </w:p>
    <w:p w14:paraId="7D83CA69">
      <w:pPr>
        <w:pStyle w:val="28"/>
      </w:pPr>
      <w:r>
        <w:t>Mã Nguồn</w:t>
      </w:r>
    </w:p>
    <w:p w14:paraId="49051785">
      <w:pPr>
        <w:pStyle w:val="3"/>
      </w:pPr>
      <w:r>
        <w:t>DeepL là sản phẩm thương mại closed-source, mã nguồn không được công khai trên bất kỳ nền tảng chia sẻ code nào, được bảo vệ nghiêm ngặt như tài sản cốt lõi của công ty theo mô hình Software-as-a-Service (Hassan và cộng sự, 2020). Người dùng chỉ có thể tương tác với hệ thống thông qua giao diện web tại deepl.com, ứng dụng desktop chính thức hoặc DeepL API với SDK chính thức cho các ngôn ngữ lập trình phổ biến. Về tính phí, DeepL áp dụng mô hình freemium với giới hạn 500.000 ký tự mỗi tháng cho gói miễn phí, trong khi các gói Pro yêu cầu thanh toán định kỳ để truy cập không giới hạn, xử lý tài liệu DOCX và PDF, và sử dụng API (Smith, 2019). Công cụ cần thiết từ phía người dùng cuối rất đơn giản, chỉ bao gồm trình duyệt web hiện đại hoặc ứng dụng desktop, và kết nối internet ổn định để truyền tải tài liệu lên hệ thống đám mây của DeepL. Người dùng doanh nghiệp tích hợp API cần tài khoản Pro và API key để xác thực, cùng với kiến thức lập trình cơ bản để sử dụng SDK tương ứng.</w:t>
      </w:r>
    </w:p>
    <w:p w14:paraId="08B267D0">
      <w:pPr>
        <w:rPr>
          <w:lang w:val="vi-VN"/>
        </w:rPr>
      </w:pPr>
      <w:r>
        <w:t>Google Cloud Translation tương tự như DeepL, cũng là dịch vụ thương mại với mã nguồn mô hình hoàn toàn đóng, tuy nhiên Google cung cấp các client libraries mã nguồn mở trên GitHub để thuận tiện cho việc tích hợp API (Hassan và cộng sự, 2020). Không có repository mã nguồn nào liên quan đến mô hình dịch thuật cốt lõi được công bố công khai, mặc dù Google có công bố nhiều bài nghiên cứu học thuật mô tả kiến trúc mô hình tổng quát. Về chính sách phí, Google Cloud Translation áp dụng mô hình pay-as-you-go với mức 20 USD cho mỗi triệu ký tự sau khi sử dụng hết hạn mức miễn phí 500.000 ký tự mỗi tháng trong năm đầu tiên (Park và cộng sự, 2021). Quá trình tích hợp yêu cầu tạo dự án trên Google Cloud Platform, kích hoạt Cloud Translation API, tạo service account và tải xuống credentials JSON, sau đó cài đặt client library tương ứng thông qua pip hoặc npm. Công cụ cần thiết bao gồm tài khoản Google Cloud, thẻ tín dụng để kích hoạt billing, và môi trường lập trình với ngôn ngữ được Google hỗ trợ SDK chính thức.</w:t>
      </w:r>
    </w:p>
    <w:p w14:paraId="077C00EB">
      <w:pPr>
        <w:pStyle w:val="28"/>
      </w:pPr>
      <w:r>
        <w:t>Dữ Liệu</w:t>
      </w:r>
    </w:p>
    <w:p w14:paraId="067943D1">
      <w:pPr>
        <w:pStyle w:val="3"/>
      </w:pPr>
      <w:r>
        <w:t xml:space="preserve">Dữ liệu song ngữ đóng vai trò nền tảng trong việc phát triển và đánh giá các hệ thống dịch thuật AI có khả năng bảo toàn định dạng, bao gồm cả dữ liệu văn bản thuần túy cho huấn luyện mô hình dịch và dữ liệu tài liệu có cấu trúc để kiểm tra khả năng bảo toàn định dạng (Hassan và cộng sự, 2020). Bộ dữ liệu WMT (Workshop on Machine Translation) được tổ chức hàng năm từ năm 2006 là nguồn dữ liệu benchmark phổ biến nhất được sử dụng trong đánh giá hệ thống dịch thuật AI hiện đại, với cấu trúc bao gồm hàng triệu cặp câu song ngữ được thu thập từ các nguồn tin tức, tài liệu chính phủ và văn bản pháp lý, chia thành tập huấn luyện, tập validation và tập test chuẩn hóa (Smith, 2019). </w:t>
      </w:r>
    </w:p>
    <w:p w14:paraId="752B54C2">
      <w:pPr>
        <w:rPr>
          <w:lang w:val="vi-VN"/>
        </w:rPr>
      </w:pPr>
      <w:r>
        <w:t>Google Cloud Translation phát triển bộ dữ liệu huấn luyện từ nhiều nguồn đa dạng bao gồm Common Crawl được lọc và căn chỉnh song ngữ, các bản dịch chính thức từ tổ chức quốc tế và các kho dữ liệu học thuật công khai như OpenSubtitles và Europarl, với tổng quy mô ước tính hàng trăm tỷ token song ngữ được xử lý qua pipeline cleaning và deduplication phức tạp (Vaswani và cộng sự, 2017). Cấu trúc dữ liệu cho các tác vụ dịch tài liệu được bổ sung thêm các trường như document_id để nhóm các câu thuộc cùng một tài liệu, section_type để phân biệt tiêu đề, nội dung chính và chú thích, và format_tags để mã hóa thông tin định dạng inline như bold và italic.</w:t>
      </w:r>
    </w:p>
    <w:p w14:paraId="2D16E3FC">
      <w:pPr>
        <w:pStyle w:val="42"/>
        <w:rPr>
          <w:lang w:val="vi-VN"/>
        </w:rPr>
      </w:pPr>
      <w:r>
        <w:rPr>
          <w:b/>
        </w:rPr>
        <w:t xml:space="preserve">Bảng </w:t>
      </w:r>
      <w:r>
        <w:rPr>
          <w:b/>
        </w:rPr>
        <w:fldChar w:fldCharType="begin"/>
      </w:r>
      <w:r>
        <w:rPr>
          <w:b/>
        </w:rPr>
        <w:instrText xml:space="preserve"> SEQ "Table" \* MERGEFORMAT </w:instrText>
      </w:r>
      <w:r>
        <w:rPr>
          <w:b/>
        </w:rPr>
        <w:fldChar w:fldCharType="separate"/>
      </w:r>
      <w:r>
        <w:rPr>
          <w:b/>
        </w:rPr>
        <w:t>1</w:t>
      </w:r>
      <w:r>
        <w:rPr>
          <w:b/>
        </w:rPr>
        <w:fldChar w:fldCharType="end"/>
      </w:r>
      <w:r>
        <w:rPr>
          <w:b/>
        </w:rPr>
        <w:t>.</w:t>
      </w:r>
      <w:r>
        <w:t xml:space="preserve"> So sánh cấu trúc dữ liệu các hệ thống dịch tài liệu AI chính</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7"/>
        <w:gridCol w:w="1299"/>
        <w:gridCol w:w="1510"/>
        <w:gridCol w:w="1279"/>
        <w:gridCol w:w="1639"/>
      </w:tblGrid>
      <w:tr w14:paraId="549B1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6927885">
            <w:pPr>
              <w:spacing w:line="240" w:lineRule="atLeast"/>
              <w:ind w:firstLine="0"/>
              <w:rPr>
                <w:b/>
                <w:bCs/>
                <w:lang w:val="en-GB"/>
              </w:rPr>
            </w:pPr>
            <w:r>
              <w:rPr>
                <w:b/>
                <w:bCs/>
                <w:lang w:val="en-GB"/>
              </w:rPr>
              <w:t>Đặc điểm</w:t>
            </w:r>
          </w:p>
        </w:tc>
        <w:tc>
          <w:tcPr>
            <w:tcW w:w="1299" w:type="dxa"/>
          </w:tcPr>
          <w:p w14:paraId="3C2632C0">
            <w:pPr>
              <w:spacing w:line="240" w:lineRule="atLeast"/>
              <w:ind w:firstLine="0"/>
              <w:rPr>
                <w:b/>
                <w:bCs/>
                <w:lang w:val="en-GB"/>
              </w:rPr>
            </w:pPr>
            <w:r>
              <w:rPr>
                <w:b/>
                <w:bCs/>
                <w:lang w:val="en-GB"/>
              </w:rPr>
              <w:t>DeepL</w:t>
            </w:r>
          </w:p>
        </w:tc>
        <w:tc>
          <w:tcPr>
            <w:tcW w:w="1510" w:type="dxa"/>
          </w:tcPr>
          <w:p w14:paraId="2075BE94">
            <w:pPr>
              <w:spacing w:line="240" w:lineRule="atLeast"/>
              <w:ind w:firstLine="0"/>
              <w:rPr>
                <w:b/>
                <w:bCs/>
                <w:lang w:val="en-GB"/>
              </w:rPr>
            </w:pPr>
            <w:r>
              <w:rPr>
                <w:b/>
                <w:bCs/>
                <w:lang w:val="en-GB"/>
              </w:rPr>
              <w:t>Google Translate</w:t>
            </w:r>
          </w:p>
        </w:tc>
        <w:tc>
          <w:tcPr>
            <w:tcW w:w="0" w:type="auto"/>
          </w:tcPr>
          <w:p w14:paraId="601CEA89">
            <w:pPr>
              <w:spacing w:line="240" w:lineRule="atLeast"/>
              <w:ind w:firstLine="0"/>
              <w:rPr>
                <w:b/>
                <w:bCs/>
                <w:lang w:val="en-GB"/>
              </w:rPr>
            </w:pPr>
            <w:r>
              <w:rPr>
                <w:b/>
                <w:bCs/>
                <w:lang w:val="en-GB"/>
              </w:rPr>
              <w:t>Adobe Acrobat</w:t>
            </w:r>
          </w:p>
        </w:tc>
        <w:tc>
          <w:tcPr>
            <w:tcW w:w="0" w:type="auto"/>
          </w:tcPr>
          <w:p w14:paraId="505E8181">
            <w:pPr>
              <w:spacing w:line="240" w:lineRule="atLeast"/>
              <w:ind w:firstLine="0"/>
              <w:rPr>
                <w:b/>
                <w:bCs/>
                <w:lang w:val="en-GB"/>
              </w:rPr>
            </w:pPr>
            <w:r>
              <w:rPr>
                <w:b/>
                <w:bCs/>
                <w:lang w:val="en-GB"/>
              </w:rPr>
              <w:t>Mã nguồn mở</w:t>
            </w:r>
          </w:p>
        </w:tc>
      </w:tr>
      <w:tr w14:paraId="59DCE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C9DF8BB">
            <w:pPr>
              <w:spacing w:line="240" w:lineRule="atLeast"/>
              <w:ind w:firstLine="0"/>
              <w:rPr>
                <w:lang w:val="en-GB"/>
              </w:rPr>
            </w:pPr>
            <w:r>
              <w:rPr>
                <w:lang w:val="en-GB"/>
              </w:rPr>
              <w:t>Định dạng hỗ trợ</w:t>
            </w:r>
          </w:p>
        </w:tc>
        <w:tc>
          <w:tcPr>
            <w:tcW w:w="1299" w:type="dxa"/>
          </w:tcPr>
          <w:p w14:paraId="335C0E8D">
            <w:pPr>
              <w:spacing w:line="240" w:lineRule="atLeast"/>
              <w:ind w:firstLine="0"/>
              <w:rPr>
                <w:lang w:val="en-GB"/>
              </w:rPr>
            </w:pPr>
            <w:r>
              <w:rPr>
                <w:lang w:val="en-GB"/>
              </w:rPr>
              <w:t>DOCX, PPTX, PDF</w:t>
            </w:r>
          </w:p>
        </w:tc>
        <w:tc>
          <w:tcPr>
            <w:tcW w:w="1510" w:type="dxa"/>
          </w:tcPr>
          <w:p w14:paraId="6DA71149">
            <w:pPr>
              <w:spacing w:line="240" w:lineRule="atLeast"/>
              <w:ind w:firstLine="0"/>
              <w:rPr>
                <w:lang w:val="en-GB"/>
              </w:rPr>
            </w:pPr>
            <w:r>
              <w:rPr>
                <w:lang w:val="en-GB"/>
              </w:rPr>
              <w:t>DOCX, PDF, HTML</w:t>
            </w:r>
          </w:p>
        </w:tc>
        <w:tc>
          <w:tcPr>
            <w:tcW w:w="0" w:type="auto"/>
          </w:tcPr>
          <w:p w14:paraId="3D4F0419">
            <w:pPr>
              <w:spacing w:line="240" w:lineRule="atLeast"/>
              <w:ind w:firstLine="0"/>
              <w:rPr>
                <w:lang w:val="en-GB"/>
              </w:rPr>
            </w:pPr>
            <w:r>
              <w:rPr>
                <w:lang w:val="en-GB"/>
              </w:rPr>
              <w:t>PDF, DOCX</w:t>
            </w:r>
          </w:p>
        </w:tc>
        <w:tc>
          <w:tcPr>
            <w:tcW w:w="0" w:type="auto"/>
          </w:tcPr>
          <w:p w14:paraId="1B5D0030">
            <w:pPr>
              <w:spacing w:line="240" w:lineRule="atLeast"/>
              <w:ind w:firstLine="0"/>
              <w:rPr>
                <w:lang w:val="en-GB"/>
              </w:rPr>
            </w:pPr>
            <w:r>
              <w:rPr>
                <w:lang w:val="en-GB"/>
              </w:rPr>
              <w:t>CSV/JSON/XML</w:t>
            </w:r>
          </w:p>
        </w:tc>
      </w:tr>
      <w:tr w14:paraId="39263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9BF9CC3">
            <w:pPr>
              <w:spacing w:line="240" w:lineRule="atLeast"/>
              <w:ind w:firstLine="0"/>
              <w:rPr>
                <w:lang w:val="en-GB"/>
              </w:rPr>
            </w:pPr>
            <w:r>
              <w:rPr>
                <w:lang w:val="en-GB"/>
              </w:rPr>
              <w:t>Số ngôn ngữ</w:t>
            </w:r>
          </w:p>
        </w:tc>
        <w:tc>
          <w:tcPr>
            <w:tcW w:w="1299" w:type="dxa"/>
          </w:tcPr>
          <w:p w14:paraId="16ED99BE">
            <w:pPr>
              <w:spacing w:line="240" w:lineRule="atLeast"/>
              <w:ind w:firstLine="0"/>
              <w:rPr>
                <w:lang w:val="en-GB"/>
              </w:rPr>
            </w:pPr>
            <w:r>
              <w:rPr>
                <w:lang w:val="en-GB"/>
              </w:rPr>
              <w:t>31 ngôn ngữ</w:t>
            </w:r>
          </w:p>
        </w:tc>
        <w:tc>
          <w:tcPr>
            <w:tcW w:w="1510" w:type="dxa"/>
          </w:tcPr>
          <w:p w14:paraId="342FCAA4">
            <w:pPr>
              <w:spacing w:line="240" w:lineRule="atLeast"/>
              <w:ind w:firstLine="0"/>
              <w:rPr>
                <w:lang w:val="en-GB"/>
              </w:rPr>
            </w:pPr>
            <w:r>
              <w:rPr>
                <w:lang w:val="en-GB"/>
              </w:rPr>
              <w:t>135 ngôn ngữ</w:t>
            </w:r>
          </w:p>
        </w:tc>
        <w:tc>
          <w:tcPr>
            <w:tcW w:w="0" w:type="auto"/>
          </w:tcPr>
          <w:p w14:paraId="287DCD65">
            <w:pPr>
              <w:spacing w:line="240" w:lineRule="atLeast"/>
              <w:ind w:firstLine="0"/>
              <w:rPr>
                <w:lang w:val="en-GB"/>
              </w:rPr>
            </w:pPr>
            <w:r>
              <w:rPr>
                <w:lang w:val="en-GB"/>
              </w:rPr>
              <w:t>35 ngôn ngữ</w:t>
            </w:r>
          </w:p>
        </w:tc>
        <w:tc>
          <w:tcPr>
            <w:tcW w:w="0" w:type="auto"/>
          </w:tcPr>
          <w:p w14:paraId="7D3D7108">
            <w:pPr>
              <w:spacing w:line="240" w:lineRule="atLeast"/>
              <w:ind w:firstLine="0"/>
              <w:rPr>
                <w:lang w:val="en-GB"/>
              </w:rPr>
            </w:pPr>
            <w:r>
              <w:rPr>
                <w:lang w:val="en-GB"/>
              </w:rPr>
              <w:t>10–135 ngôn ngữ</w:t>
            </w:r>
          </w:p>
        </w:tc>
      </w:tr>
      <w:tr w14:paraId="1C5FC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AD26B5E">
            <w:pPr>
              <w:spacing w:line="240" w:lineRule="atLeast"/>
              <w:ind w:firstLine="0"/>
              <w:rPr>
                <w:lang w:val="en-GB"/>
              </w:rPr>
            </w:pPr>
            <w:r>
              <w:rPr>
                <w:lang w:val="en-GB"/>
              </w:rPr>
              <w:t>Bảo toàn bảng</w:t>
            </w:r>
          </w:p>
        </w:tc>
        <w:tc>
          <w:tcPr>
            <w:tcW w:w="1299" w:type="dxa"/>
          </w:tcPr>
          <w:p w14:paraId="456DBAD5">
            <w:pPr>
              <w:spacing w:line="240" w:lineRule="atLeast"/>
              <w:ind w:firstLine="0"/>
              <w:rPr>
                <w:lang w:val="en-GB"/>
              </w:rPr>
            </w:pPr>
            <w:r>
              <w:rPr>
                <w:lang w:val="en-GB"/>
              </w:rPr>
              <w:t>Đầy đủ</w:t>
            </w:r>
          </w:p>
        </w:tc>
        <w:tc>
          <w:tcPr>
            <w:tcW w:w="1510" w:type="dxa"/>
          </w:tcPr>
          <w:p w14:paraId="1DA55460">
            <w:pPr>
              <w:spacing w:line="240" w:lineRule="atLeast"/>
              <w:ind w:firstLine="0"/>
              <w:rPr>
                <w:lang w:val="en-GB"/>
              </w:rPr>
            </w:pPr>
            <w:r>
              <w:rPr>
                <w:lang w:val="en-GB"/>
              </w:rPr>
              <w:t>Một phần</w:t>
            </w:r>
          </w:p>
        </w:tc>
        <w:tc>
          <w:tcPr>
            <w:tcW w:w="0" w:type="auto"/>
          </w:tcPr>
          <w:p w14:paraId="6AA295ED">
            <w:pPr>
              <w:spacing w:line="240" w:lineRule="atLeast"/>
              <w:ind w:firstLine="0"/>
              <w:rPr>
                <w:lang w:val="en-GB"/>
              </w:rPr>
            </w:pPr>
            <w:r>
              <w:rPr>
                <w:lang w:val="en-GB"/>
              </w:rPr>
              <w:t>Đầy đủ</w:t>
            </w:r>
          </w:p>
        </w:tc>
        <w:tc>
          <w:tcPr>
            <w:tcW w:w="0" w:type="auto"/>
          </w:tcPr>
          <w:p w14:paraId="7A5EA7FF">
            <w:pPr>
              <w:spacing w:line="240" w:lineRule="atLeast"/>
              <w:ind w:firstLine="0"/>
              <w:rPr>
                <w:lang w:val="en-GB"/>
              </w:rPr>
            </w:pPr>
            <w:r>
              <w:rPr>
                <w:lang w:val="en-GB"/>
              </w:rPr>
              <w:t>Một phần</w:t>
            </w:r>
          </w:p>
        </w:tc>
      </w:tr>
      <w:tr w14:paraId="2180A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88138C">
            <w:pPr>
              <w:spacing w:line="240" w:lineRule="atLeast"/>
              <w:ind w:firstLine="0"/>
              <w:rPr>
                <w:lang w:val="en-GB"/>
              </w:rPr>
            </w:pPr>
            <w:r>
              <w:rPr>
                <w:lang w:val="en-GB"/>
              </w:rPr>
              <w:t>Hỗ trợ OCR</w:t>
            </w:r>
          </w:p>
        </w:tc>
        <w:tc>
          <w:tcPr>
            <w:tcW w:w="1299" w:type="dxa"/>
          </w:tcPr>
          <w:p w14:paraId="7C62A524">
            <w:pPr>
              <w:spacing w:line="240" w:lineRule="atLeast"/>
              <w:ind w:firstLine="0"/>
              <w:rPr>
                <w:lang w:val="en-GB"/>
              </w:rPr>
            </w:pPr>
            <w:r>
              <w:rPr>
                <w:lang w:val="en-GB"/>
              </w:rPr>
              <w:t>Có (giới hạn)</w:t>
            </w:r>
          </w:p>
        </w:tc>
        <w:tc>
          <w:tcPr>
            <w:tcW w:w="1510" w:type="dxa"/>
          </w:tcPr>
          <w:p w14:paraId="6F665AA0">
            <w:pPr>
              <w:spacing w:line="240" w:lineRule="atLeast"/>
              <w:ind w:firstLine="0"/>
              <w:rPr>
                <w:lang w:val="en-GB"/>
              </w:rPr>
            </w:pPr>
            <w:r>
              <w:rPr>
                <w:lang w:val="en-GB"/>
              </w:rPr>
              <w:t>Có (Document AI)</w:t>
            </w:r>
          </w:p>
        </w:tc>
        <w:tc>
          <w:tcPr>
            <w:tcW w:w="0" w:type="auto"/>
          </w:tcPr>
          <w:p w14:paraId="44AF9267">
            <w:pPr>
              <w:spacing w:line="240" w:lineRule="atLeast"/>
              <w:ind w:firstLine="0"/>
              <w:rPr>
                <w:lang w:val="en-GB"/>
              </w:rPr>
            </w:pPr>
            <w:r>
              <w:rPr>
                <w:lang w:val="en-GB"/>
              </w:rPr>
              <w:t>Có (nâng cao)</w:t>
            </w:r>
          </w:p>
        </w:tc>
        <w:tc>
          <w:tcPr>
            <w:tcW w:w="0" w:type="auto"/>
          </w:tcPr>
          <w:p w14:paraId="1E905103">
            <w:pPr>
              <w:spacing w:line="240" w:lineRule="atLeast"/>
              <w:ind w:firstLine="0"/>
              <w:rPr>
                <w:lang w:val="en-GB"/>
              </w:rPr>
            </w:pPr>
            <w:r>
              <w:rPr>
                <w:lang w:val="en-GB"/>
              </w:rPr>
              <w:t>Tùy thư viện</w:t>
            </w:r>
          </w:p>
        </w:tc>
      </w:tr>
      <w:tr w14:paraId="4CA21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E9B3CF9">
            <w:pPr>
              <w:spacing w:line="240" w:lineRule="atLeast"/>
              <w:ind w:firstLine="0"/>
              <w:rPr>
                <w:lang w:val="en-GB"/>
              </w:rPr>
            </w:pPr>
            <w:r>
              <w:rPr>
                <w:lang w:val="en-GB"/>
              </w:rPr>
              <w:t>Dung lượng tối đa</w:t>
            </w:r>
          </w:p>
        </w:tc>
        <w:tc>
          <w:tcPr>
            <w:tcW w:w="1299" w:type="dxa"/>
          </w:tcPr>
          <w:p w14:paraId="047F05CF">
            <w:pPr>
              <w:spacing w:line="240" w:lineRule="atLeast"/>
              <w:ind w:firstLine="0"/>
              <w:rPr>
                <w:lang w:val="en-GB"/>
              </w:rPr>
            </w:pPr>
            <w:r>
              <w:rPr>
                <w:lang w:val="en-GB"/>
              </w:rPr>
              <w:t>10 MB/file</w:t>
            </w:r>
          </w:p>
        </w:tc>
        <w:tc>
          <w:tcPr>
            <w:tcW w:w="1510" w:type="dxa"/>
          </w:tcPr>
          <w:p w14:paraId="180E9883">
            <w:pPr>
              <w:spacing w:line="240" w:lineRule="atLeast"/>
              <w:ind w:firstLine="0"/>
              <w:rPr>
                <w:lang w:val="en-GB"/>
              </w:rPr>
            </w:pPr>
            <w:r>
              <w:rPr>
                <w:lang w:val="en-GB"/>
              </w:rPr>
              <w:t>20 MB/file</w:t>
            </w:r>
          </w:p>
        </w:tc>
        <w:tc>
          <w:tcPr>
            <w:tcW w:w="0" w:type="auto"/>
          </w:tcPr>
          <w:p w14:paraId="02FDA9EB">
            <w:pPr>
              <w:spacing w:line="240" w:lineRule="atLeast"/>
              <w:ind w:firstLine="0"/>
              <w:rPr>
                <w:lang w:val="en-GB"/>
              </w:rPr>
            </w:pPr>
            <w:r>
              <w:rPr>
                <w:lang w:val="en-GB"/>
              </w:rPr>
              <w:t>500 MB/file</w:t>
            </w:r>
          </w:p>
        </w:tc>
        <w:tc>
          <w:tcPr>
            <w:tcW w:w="0" w:type="auto"/>
          </w:tcPr>
          <w:p w14:paraId="586C450E">
            <w:pPr>
              <w:spacing w:line="240" w:lineRule="atLeast"/>
              <w:ind w:firstLine="0"/>
              <w:rPr>
                <w:lang w:val="en-GB"/>
              </w:rPr>
            </w:pPr>
            <w:r>
              <w:rPr>
                <w:lang w:val="en-GB"/>
              </w:rPr>
              <w:t>Không giới hạn</w:t>
            </w:r>
          </w:p>
        </w:tc>
      </w:tr>
      <w:tr w14:paraId="0D38A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21DFA01">
            <w:pPr>
              <w:spacing w:line="240" w:lineRule="atLeast"/>
              <w:ind w:firstLine="0"/>
              <w:rPr>
                <w:lang w:val="en-GB"/>
              </w:rPr>
            </w:pPr>
            <w:r>
              <w:rPr>
                <w:lang w:val="en-GB"/>
              </w:rPr>
              <w:t>Cập nhật mô hình</w:t>
            </w:r>
          </w:p>
        </w:tc>
        <w:tc>
          <w:tcPr>
            <w:tcW w:w="1299" w:type="dxa"/>
          </w:tcPr>
          <w:p w14:paraId="530CADF0">
            <w:pPr>
              <w:spacing w:line="240" w:lineRule="atLeast"/>
              <w:ind w:firstLine="0"/>
              <w:rPr>
                <w:lang w:val="en-GB"/>
              </w:rPr>
            </w:pPr>
            <w:r>
              <w:rPr>
                <w:lang w:val="en-GB"/>
              </w:rPr>
              <w:t>Liên tục</w:t>
            </w:r>
          </w:p>
        </w:tc>
        <w:tc>
          <w:tcPr>
            <w:tcW w:w="1510" w:type="dxa"/>
          </w:tcPr>
          <w:p w14:paraId="2879A529">
            <w:pPr>
              <w:spacing w:line="240" w:lineRule="atLeast"/>
              <w:ind w:firstLine="0"/>
              <w:rPr>
                <w:lang w:val="en-GB"/>
              </w:rPr>
            </w:pPr>
            <w:r>
              <w:rPr>
                <w:lang w:val="en-GB"/>
              </w:rPr>
              <w:t>Liên tục</w:t>
            </w:r>
          </w:p>
        </w:tc>
        <w:tc>
          <w:tcPr>
            <w:tcW w:w="0" w:type="auto"/>
          </w:tcPr>
          <w:p w14:paraId="5DC1DF9F">
            <w:pPr>
              <w:spacing w:line="240" w:lineRule="atLeast"/>
              <w:ind w:firstLine="0"/>
              <w:rPr>
                <w:lang w:val="en-GB"/>
              </w:rPr>
            </w:pPr>
            <w:r>
              <w:rPr>
                <w:lang w:val="en-GB"/>
              </w:rPr>
              <w:t>Theo phiên bản</w:t>
            </w:r>
          </w:p>
        </w:tc>
        <w:tc>
          <w:tcPr>
            <w:tcW w:w="0" w:type="auto"/>
          </w:tcPr>
          <w:p w14:paraId="71ACCCC5">
            <w:pPr>
              <w:spacing w:line="240" w:lineRule="atLeast"/>
              <w:ind w:firstLine="0"/>
              <w:rPr>
                <w:lang w:val="en-GB"/>
              </w:rPr>
            </w:pPr>
            <w:r>
              <w:rPr>
                <w:lang w:val="en-GB"/>
              </w:rPr>
              <w:t>Không đều</w:t>
            </w:r>
          </w:p>
        </w:tc>
      </w:tr>
      <w:tr w14:paraId="3E6CB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11E6ED4">
            <w:pPr>
              <w:spacing w:line="240" w:lineRule="atLeast"/>
              <w:ind w:firstLine="0"/>
              <w:rPr>
                <w:lang w:val="en-GB"/>
              </w:rPr>
            </w:pPr>
            <w:r>
              <w:rPr>
                <w:lang w:val="en-GB"/>
              </w:rPr>
              <w:t>Glossary tùy chỉnh</w:t>
            </w:r>
          </w:p>
        </w:tc>
        <w:tc>
          <w:tcPr>
            <w:tcW w:w="1299" w:type="dxa"/>
          </w:tcPr>
          <w:p w14:paraId="178E8A98">
            <w:pPr>
              <w:spacing w:line="240" w:lineRule="atLeast"/>
              <w:ind w:firstLine="0"/>
              <w:rPr>
                <w:lang w:val="en-GB"/>
              </w:rPr>
            </w:pPr>
            <w:r>
              <w:rPr>
                <w:lang w:val="en-GB"/>
              </w:rPr>
              <w:t>Có</w:t>
            </w:r>
          </w:p>
        </w:tc>
        <w:tc>
          <w:tcPr>
            <w:tcW w:w="1510" w:type="dxa"/>
          </w:tcPr>
          <w:p w14:paraId="526798F3">
            <w:pPr>
              <w:spacing w:line="240" w:lineRule="atLeast"/>
              <w:ind w:firstLine="0"/>
              <w:rPr>
                <w:lang w:val="en-GB"/>
              </w:rPr>
            </w:pPr>
            <w:r>
              <w:rPr>
                <w:lang w:val="en-GB"/>
              </w:rPr>
              <w:t>Có (AutoML)</w:t>
            </w:r>
          </w:p>
        </w:tc>
        <w:tc>
          <w:tcPr>
            <w:tcW w:w="0" w:type="auto"/>
          </w:tcPr>
          <w:p w14:paraId="6B6370CD">
            <w:pPr>
              <w:spacing w:line="240" w:lineRule="atLeast"/>
              <w:ind w:firstLine="0"/>
              <w:rPr>
                <w:lang w:val="en-GB"/>
              </w:rPr>
            </w:pPr>
            <w:r>
              <w:rPr>
                <w:lang w:val="en-GB"/>
              </w:rPr>
              <w:t>Không</w:t>
            </w:r>
          </w:p>
        </w:tc>
        <w:tc>
          <w:tcPr>
            <w:tcW w:w="0" w:type="auto"/>
          </w:tcPr>
          <w:p w14:paraId="60EB5019">
            <w:pPr>
              <w:spacing w:line="240" w:lineRule="atLeast"/>
              <w:ind w:firstLine="0"/>
              <w:rPr>
                <w:lang w:val="en-GB"/>
              </w:rPr>
            </w:pPr>
            <w:r>
              <w:rPr>
                <w:lang w:val="en-GB"/>
              </w:rPr>
              <w:t>Tùy dự án</w:t>
            </w:r>
          </w:p>
        </w:tc>
      </w:tr>
    </w:tbl>
    <w:p w14:paraId="2175FA3E">
      <w:pPr>
        <w:spacing w:before="240"/>
        <w:ind w:firstLine="0"/>
        <w:rPr>
          <w:lang w:val="vi-VN"/>
        </w:rPr>
      </w:pPr>
      <w:r>
        <w:rPr>
          <w:lang w:val="vi-VN"/>
        </w:rPr>
        <w:t>Về phương pháp thu thập và xây dựng dữ liệu tài liệu có định dạng cho hệ thống dịch AI, hầu hết các hệ thống thương mại kết hợp thu thập tự động từ web với quá trình lọc và kiểm tra chất lượng thủ công bởi đội ngũ chuyên gia ngôn ngữ (Park và cộng sự, 2021). DeepL hợp tác với các nhà xuất bản học thuật và cơ quan dịch thuật chuyên nghiệp để có được dữ liệu song ngữ chất lượng cao trong các lĩnh vực chuyên biệt như y tế, pháp lý và kỹ thuật, sau đó xử lý qua pipeline alignment tự động kết hợp với human review để đảm bảo chất lượng cặp câu song ngữ, cuối cùng được augmentation bằng các kỹ thuật back-translation và data synthesis để tăng tính đa dạng (Hassan và cộng sự, 2020). Google sử dụng phương pháp thu thập quy mô lớn từ Common Crawl kết hợp với thuật toán language identification và sentence alignment tự động, nhưng phải xử lý vấn đề nhiễu dữ liệu và các cặp câu không tương đương ngữ nghĩa thông qua các bộ lọc chất lượng phức tạp dựa trên perplexity và cross-lingual similarity (Vaswani và cộng sự, 2017).</w:t>
      </w:r>
      <w:r>
        <w:t xml:space="preserve"> </w:t>
      </w:r>
    </w:p>
    <w:p w14:paraId="531DFAB2">
      <w:pPr>
        <w:pStyle w:val="42"/>
      </w:pPr>
      <w:r>
        <w:rPr>
          <w:b/>
        </w:rPr>
        <w:t>Bảng 2.</w:t>
      </w:r>
      <w:r>
        <w:t xml:space="preserve"> So sánh các phương pháp tích hợp dữ liệu Tarot với LLM</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0"/>
        <w:gridCol w:w="2067"/>
        <w:gridCol w:w="870"/>
        <w:gridCol w:w="1489"/>
        <w:gridCol w:w="1328"/>
      </w:tblGrid>
      <w:tr w14:paraId="17232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CE42001">
            <w:pPr>
              <w:spacing w:before="240" w:line="240" w:lineRule="atLeast"/>
              <w:ind w:firstLine="0"/>
              <w:rPr>
                <w:b/>
                <w:bCs/>
                <w:lang w:val="en-GB"/>
              </w:rPr>
            </w:pPr>
            <w:r>
              <w:rPr>
                <w:b/>
                <w:bCs/>
                <w:lang w:val="en-GB"/>
              </w:rPr>
              <w:t>Phương pháp</w:t>
            </w:r>
          </w:p>
        </w:tc>
        <w:tc>
          <w:tcPr>
            <w:tcW w:w="0" w:type="auto"/>
          </w:tcPr>
          <w:p w14:paraId="26AC9018">
            <w:pPr>
              <w:spacing w:before="240" w:line="240" w:lineRule="atLeast"/>
              <w:ind w:firstLine="0"/>
              <w:rPr>
                <w:b/>
                <w:bCs/>
                <w:lang w:val="en-GB"/>
              </w:rPr>
            </w:pPr>
            <w:r>
              <w:rPr>
                <w:b/>
                <w:bCs/>
                <w:lang w:val="en-GB"/>
              </w:rPr>
              <w:t>Chi phí</w:t>
            </w:r>
          </w:p>
        </w:tc>
        <w:tc>
          <w:tcPr>
            <w:tcW w:w="0" w:type="auto"/>
          </w:tcPr>
          <w:p w14:paraId="4520B85E">
            <w:pPr>
              <w:spacing w:before="240" w:line="240" w:lineRule="atLeast"/>
              <w:ind w:firstLine="0"/>
              <w:rPr>
                <w:b/>
                <w:bCs/>
                <w:lang w:val="en-GB"/>
              </w:rPr>
            </w:pPr>
            <w:r>
              <w:rPr>
                <w:b/>
                <w:bCs/>
                <w:lang w:val="en-GB"/>
              </w:rPr>
              <w:t>Độ phức tạp</w:t>
            </w:r>
          </w:p>
        </w:tc>
        <w:tc>
          <w:tcPr>
            <w:tcW w:w="0" w:type="auto"/>
          </w:tcPr>
          <w:p w14:paraId="134DCB36">
            <w:pPr>
              <w:spacing w:before="240" w:line="240" w:lineRule="atLeast"/>
              <w:ind w:firstLine="0"/>
              <w:rPr>
                <w:b/>
                <w:bCs/>
                <w:lang w:val="en-GB"/>
              </w:rPr>
            </w:pPr>
            <w:r>
              <w:rPr>
                <w:b/>
                <w:bCs/>
                <w:lang w:val="en-GB"/>
              </w:rPr>
              <w:t>Khả năng cập nhật</w:t>
            </w:r>
          </w:p>
        </w:tc>
        <w:tc>
          <w:tcPr>
            <w:tcW w:w="0" w:type="auto"/>
          </w:tcPr>
          <w:p w14:paraId="2A79A106">
            <w:pPr>
              <w:spacing w:before="240" w:line="240" w:lineRule="atLeast"/>
              <w:ind w:firstLine="0"/>
              <w:rPr>
                <w:b/>
                <w:bCs/>
                <w:lang w:val="en-GB"/>
              </w:rPr>
            </w:pPr>
            <w:r>
              <w:rPr>
                <w:b/>
                <w:bCs/>
                <w:lang w:val="en-GB"/>
              </w:rPr>
              <w:t>Chất lượng</w:t>
            </w:r>
          </w:p>
        </w:tc>
      </w:tr>
      <w:tr w14:paraId="75FBD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A484443">
            <w:pPr>
              <w:spacing w:before="240" w:line="240" w:lineRule="atLeast"/>
              <w:ind w:firstLine="0"/>
              <w:rPr>
                <w:lang w:val="en-GB"/>
              </w:rPr>
            </w:pPr>
            <w:r>
              <w:rPr>
                <w:lang w:val="en-GB"/>
              </w:rPr>
              <w:t>Prompt Engineering</w:t>
            </w:r>
          </w:p>
        </w:tc>
        <w:tc>
          <w:tcPr>
            <w:tcW w:w="0" w:type="auto"/>
          </w:tcPr>
          <w:p w14:paraId="016F8C1F">
            <w:pPr>
              <w:spacing w:before="240" w:line="240" w:lineRule="atLeast"/>
              <w:ind w:firstLine="0"/>
              <w:rPr>
                <w:lang w:val="en-GB"/>
              </w:rPr>
            </w:pPr>
            <w:r>
              <w:rPr>
                <w:lang w:val="en-GB"/>
              </w:rPr>
              <w:t>Thấp ($0.03–0.06/1K tokens)</w:t>
            </w:r>
          </w:p>
        </w:tc>
        <w:tc>
          <w:tcPr>
            <w:tcW w:w="0" w:type="auto"/>
          </w:tcPr>
          <w:p w14:paraId="2F5F2335">
            <w:pPr>
              <w:spacing w:before="240" w:line="240" w:lineRule="atLeast"/>
              <w:ind w:firstLine="0"/>
              <w:rPr>
                <w:lang w:val="en-GB"/>
              </w:rPr>
            </w:pPr>
            <w:r>
              <w:rPr>
                <w:lang w:val="en-GB"/>
              </w:rPr>
              <w:t>Thấp</w:t>
            </w:r>
          </w:p>
        </w:tc>
        <w:tc>
          <w:tcPr>
            <w:tcW w:w="0" w:type="auto"/>
          </w:tcPr>
          <w:p w14:paraId="6FD66698">
            <w:pPr>
              <w:spacing w:before="240" w:line="240" w:lineRule="atLeast"/>
              <w:ind w:firstLine="0"/>
              <w:rPr>
                <w:lang w:val="en-GB"/>
              </w:rPr>
            </w:pPr>
            <w:r>
              <w:rPr>
                <w:lang w:val="en-GB"/>
              </w:rPr>
              <w:t>Rất dễ (chỉnh sửa prompt)</w:t>
            </w:r>
          </w:p>
        </w:tc>
        <w:tc>
          <w:tcPr>
            <w:tcW w:w="0" w:type="auto"/>
          </w:tcPr>
          <w:p w14:paraId="0F2ABF5C">
            <w:pPr>
              <w:spacing w:before="240" w:line="240" w:lineRule="atLeast"/>
              <w:ind w:firstLine="0"/>
              <w:rPr>
                <w:lang w:val="en-GB"/>
              </w:rPr>
            </w:pPr>
            <w:r>
              <w:rPr>
                <w:lang w:val="en-GB"/>
              </w:rPr>
              <w:t>Tốt cho tài liệu phổ thông</w:t>
            </w:r>
          </w:p>
        </w:tc>
      </w:tr>
      <w:tr w14:paraId="7EA86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99E59AD">
            <w:pPr>
              <w:spacing w:before="240" w:line="240" w:lineRule="atLeast"/>
              <w:ind w:firstLine="0"/>
              <w:rPr>
                <w:lang w:val="en-GB"/>
              </w:rPr>
            </w:pPr>
            <w:r>
              <w:rPr>
                <w:lang w:val="en-GB"/>
              </w:rPr>
              <w:t>Fine-tuning</w:t>
            </w:r>
          </w:p>
        </w:tc>
        <w:tc>
          <w:tcPr>
            <w:tcW w:w="0" w:type="auto"/>
          </w:tcPr>
          <w:p w14:paraId="2AE321FB">
            <w:pPr>
              <w:spacing w:before="240" w:line="240" w:lineRule="atLeast"/>
              <w:ind w:firstLine="0"/>
              <w:rPr>
                <w:lang w:val="en-GB"/>
              </w:rPr>
            </w:pPr>
            <w:r>
              <w:rPr>
                <w:lang w:val="en-GB"/>
              </w:rPr>
              <w:t>Rất cao ($500–5000/model)</w:t>
            </w:r>
          </w:p>
        </w:tc>
        <w:tc>
          <w:tcPr>
            <w:tcW w:w="0" w:type="auto"/>
          </w:tcPr>
          <w:p w14:paraId="669B75BE">
            <w:pPr>
              <w:spacing w:before="240" w:line="240" w:lineRule="atLeast"/>
              <w:ind w:firstLine="0"/>
              <w:rPr>
                <w:lang w:val="en-GB"/>
              </w:rPr>
            </w:pPr>
            <w:r>
              <w:rPr>
                <w:lang w:val="en-GB"/>
              </w:rPr>
              <w:t>Cao</w:t>
            </w:r>
          </w:p>
        </w:tc>
        <w:tc>
          <w:tcPr>
            <w:tcW w:w="0" w:type="auto"/>
          </w:tcPr>
          <w:p w14:paraId="7500F8E0">
            <w:pPr>
              <w:spacing w:before="240" w:line="240" w:lineRule="atLeast"/>
              <w:ind w:firstLine="0"/>
              <w:rPr>
                <w:lang w:val="en-GB"/>
              </w:rPr>
            </w:pPr>
            <w:r>
              <w:rPr>
                <w:lang w:val="en-GB"/>
              </w:rPr>
              <w:t>Khó (cần retrain)</w:t>
            </w:r>
          </w:p>
        </w:tc>
        <w:tc>
          <w:tcPr>
            <w:tcW w:w="0" w:type="auto"/>
          </w:tcPr>
          <w:p w14:paraId="41589712">
            <w:pPr>
              <w:spacing w:before="240" w:line="240" w:lineRule="atLeast"/>
              <w:ind w:firstLine="0"/>
              <w:rPr>
                <w:lang w:val="en-GB"/>
              </w:rPr>
            </w:pPr>
            <w:r>
              <w:rPr>
                <w:lang w:val="en-GB"/>
              </w:rPr>
              <w:t>Tốt nhất cho chuyên ngành</w:t>
            </w:r>
          </w:p>
        </w:tc>
      </w:tr>
      <w:tr w14:paraId="31AC9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D1FCB16">
            <w:pPr>
              <w:spacing w:before="240" w:line="240" w:lineRule="atLeast"/>
              <w:ind w:firstLine="0"/>
              <w:rPr>
                <w:lang w:val="en-GB"/>
              </w:rPr>
            </w:pPr>
            <w:r>
              <w:rPr>
                <w:lang w:val="en-GB"/>
              </w:rPr>
              <w:t>RAG + Translation</w:t>
            </w:r>
          </w:p>
        </w:tc>
        <w:tc>
          <w:tcPr>
            <w:tcW w:w="0" w:type="auto"/>
          </w:tcPr>
          <w:p w14:paraId="67BEC98E">
            <w:pPr>
              <w:spacing w:before="240" w:line="240" w:lineRule="atLeast"/>
              <w:ind w:firstLine="0"/>
              <w:rPr>
                <w:lang w:val="en-GB"/>
              </w:rPr>
            </w:pPr>
            <w:r>
              <w:rPr>
                <w:lang w:val="en-GB"/>
              </w:rPr>
              <w:t>Trung bình ($0.05–0.10/query)</w:t>
            </w:r>
          </w:p>
        </w:tc>
        <w:tc>
          <w:tcPr>
            <w:tcW w:w="0" w:type="auto"/>
          </w:tcPr>
          <w:p w14:paraId="1D474021">
            <w:pPr>
              <w:spacing w:before="240" w:line="240" w:lineRule="atLeast"/>
              <w:ind w:firstLine="0"/>
              <w:rPr>
                <w:lang w:val="en-GB"/>
              </w:rPr>
            </w:pPr>
            <w:r>
              <w:rPr>
                <w:lang w:val="en-GB"/>
              </w:rPr>
              <w:t>Trung bình</w:t>
            </w:r>
          </w:p>
        </w:tc>
        <w:tc>
          <w:tcPr>
            <w:tcW w:w="0" w:type="auto"/>
          </w:tcPr>
          <w:p w14:paraId="5173E8E9">
            <w:pPr>
              <w:spacing w:before="240" w:line="240" w:lineRule="atLeast"/>
              <w:ind w:firstLine="0"/>
              <w:rPr>
                <w:lang w:val="en-GB"/>
              </w:rPr>
            </w:pPr>
            <w:r>
              <w:rPr>
                <w:lang w:val="en-GB"/>
              </w:rPr>
              <w:t>Dễ (thêm documents)</w:t>
            </w:r>
          </w:p>
        </w:tc>
        <w:tc>
          <w:tcPr>
            <w:tcW w:w="0" w:type="auto"/>
          </w:tcPr>
          <w:p w14:paraId="66BB11F4">
            <w:pPr>
              <w:spacing w:before="240" w:line="240" w:lineRule="atLeast"/>
              <w:ind w:firstLine="0"/>
              <w:rPr>
                <w:lang w:val="en-GB"/>
              </w:rPr>
            </w:pPr>
            <w:r>
              <w:rPr>
                <w:lang w:val="en-GB"/>
              </w:rPr>
              <w:t>Rất tốt khi retrieve chính xác</w:t>
            </w:r>
          </w:p>
        </w:tc>
      </w:tr>
      <w:tr w14:paraId="019AC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5811840">
            <w:pPr>
              <w:spacing w:before="240" w:line="240" w:lineRule="atLeast"/>
              <w:ind w:firstLine="0"/>
              <w:rPr>
                <w:lang w:val="en-GB"/>
              </w:rPr>
            </w:pPr>
            <w:r>
              <w:rPr>
                <w:lang w:val="en-GB"/>
              </w:rPr>
              <w:t>Hybrid Pipeline</w:t>
            </w:r>
          </w:p>
        </w:tc>
        <w:tc>
          <w:tcPr>
            <w:tcW w:w="0" w:type="auto"/>
          </w:tcPr>
          <w:p w14:paraId="048C38D4">
            <w:pPr>
              <w:spacing w:before="240" w:line="240" w:lineRule="atLeast"/>
              <w:ind w:firstLine="0"/>
              <w:rPr>
                <w:lang w:val="en-GB"/>
              </w:rPr>
            </w:pPr>
            <w:r>
              <w:rPr>
                <w:lang w:val="en-GB"/>
              </w:rPr>
              <w:t>Trung bình–Cao</w:t>
            </w:r>
          </w:p>
        </w:tc>
        <w:tc>
          <w:tcPr>
            <w:tcW w:w="0" w:type="auto"/>
          </w:tcPr>
          <w:p w14:paraId="126CCDDF">
            <w:pPr>
              <w:spacing w:before="240" w:line="240" w:lineRule="atLeast"/>
              <w:ind w:firstLine="0"/>
              <w:rPr>
                <w:lang w:val="en-GB"/>
              </w:rPr>
            </w:pPr>
            <w:r>
              <w:rPr>
                <w:lang w:val="en-GB"/>
              </w:rPr>
              <w:t>Cao</w:t>
            </w:r>
          </w:p>
        </w:tc>
        <w:tc>
          <w:tcPr>
            <w:tcW w:w="0" w:type="auto"/>
          </w:tcPr>
          <w:p w14:paraId="7322A7F8">
            <w:pPr>
              <w:spacing w:before="240" w:line="240" w:lineRule="atLeast"/>
              <w:ind w:firstLine="0"/>
              <w:rPr>
                <w:lang w:val="en-GB"/>
              </w:rPr>
            </w:pPr>
            <w:r>
              <w:rPr>
                <w:lang w:val="en-GB"/>
              </w:rPr>
              <w:t>Linh hoạt</w:t>
            </w:r>
          </w:p>
        </w:tc>
        <w:tc>
          <w:tcPr>
            <w:tcW w:w="0" w:type="auto"/>
          </w:tcPr>
          <w:p w14:paraId="1392CBA2">
            <w:pPr>
              <w:spacing w:before="240" w:line="240" w:lineRule="atLeast"/>
              <w:ind w:firstLine="0"/>
              <w:rPr>
                <w:lang w:val="en-GB"/>
              </w:rPr>
            </w:pPr>
            <w:r>
              <w:rPr>
                <w:lang w:val="en-GB"/>
              </w:rPr>
              <w:t>Tốt nhất overall</w:t>
            </w:r>
          </w:p>
        </w:tc>
      </w:tr>
    </w:tbl>
    <w:p w14:paraId="1BDEBB1C">
      <w:pPr>
        <w:spacing w:before="240"/>
        <w:ind w:firstLine="0"/>
        <w:rPr>
          <w:lang w:val="vi-VN"/>
        </w:rPr>
      </w:pPr>
      <w:r>
        <w:t>Các thách thức còn tồn tại trong quản lý dữ liệu cho hệ thống dịch tài liệu AI bao gồm vấn đề bản quyền khi sử dụng tài liệu từ nhà xuất bản, thiếu chuẩn hóa trong annotation định dạng giữa các dataset khác nhau gây khó khăn cho việc benchmark thống nhất, nhu cầu cập nhật liên tục để phản ánh sự thay đổi của ngôn ngữ và thuật ngữ chuyên ngành, và sự đánh đổi giữa tính xác thực truyền thống và sự phù hợp hiện đại trong các bản dịch tài liệu lịch sử (Hassan và cộng sự, 2020; Smith, 2019).</w:t>
      </w:r>
    </w:p>
    <w:p w14:paraId="17884A54">
      <w:pPr>
        <w:pStyle w:val="28"/>
      </w:pPr>
      <w:r>
        <w:t>Hướng Tiếp Cận Nghiên Cứu</w:t>
      </w:r>
    </w:p>
    <w:p w14:paraId="629842FE">
      <w:pPr>
        <w:pStyle w:val="3"/>
      </w:pPr>
      <w:r>
        <w:t>Trong lĩnh vực dịch thuật tài liệu sử dụng trí tuệ nhân tạo với khả năng bảo toàn định dạng, các nghiên cứu và triển khai ứng dụng từ năm 2016 đến nay đã áp dụng ba hướng tiếp cận công nghệ chính với mức độ phức tạp và hiệu quả khác nhau, phản ánh quá trình phát triển nhanh chóng của lĩnh vực xử lý ngôn ngữ tự nhiên và thị giác máy tính (Hassan và cộng sự, 2020; Smith, 2019). Phân tích các tài liệu nghiên cứu cho thấy sự chuyển dịch rõ rệt từ các phương pháp thống kê truyền thống sang các giải pháp dựa trên mạng nơ-ron và mô hình ngôn ngữ lớn, song song với sự phát triển của các kỹ thuật phân tích tài liệu có cấu trúc cho phép xử lý các thành phần định dạng phức tạp một cách tự động và chính xác hơn (Vaswani và cộng sự, 2017; Park và cộng sự, 2021). Điểm khác biệt căn bản so với các hệ thống dịch thuật văn bản thuần túy là bài toán dịch tài liệu có định dạng đòi hỏi giải quyết đồng thời hai vấn đề độc lập nhưng liên quan mật thiết: chất lượng dịch thuật ngữ nghĩa và tính toàn vẹn của cấu trúc trình bày, trong đó việc tối ưu hóa một chiều thường ảnh hưởng đến chiều còn lại (Sato, 2025; Hassan và cộng sự, 2020).</w:t>
      </w:r>
    </w:p>
    <w:p w14:paraId="064EF93F">
      <w:pPr>
        <w:rPr>
          <w:lang w:val="vi-VN"/>
        </w:rPr>
      </w:pPr>
      <w:r>
        <w:t>Các nghiên cứu đã công bố về hệ thống dịch tài liệu AI được phân loại thành ba nhóm chính dựa trên công nghệ cốt lõi. Hướng tiếp cận dịch máy thống kê (SMT) xuất hiện sớm nhất và hiện còn được sử dụng trong một số hệ thống nhúng có ràng buộc tài nguyên. Hướng tiếp cận dịch máy thần kinh (NMT) dựa trên kiến trúc encoder-decoder với attention mechanism trở thành chuẩn mực từ năm 2017 sau bài báo "Attention Is All You Need" của Vaswani và cộng sự. Hướng tiếp cận dựa trên mô hình ngôn ngữ lớn đang chiếm ưu thế từ năm 2020 khi GPT-3 chứng minh khả năng dịch thuật few-shot mà không cần fine-tuning trên dữ liệu song ngữ chuyên biệt (Vaswani và cộng sự, 2017; Sato, 2025).</w:t>
      </w:r>
    </w:p>
    <w:p w14:paraId="79E8A0BC">
      <w:pPr>
        <w:rPr>
          <w:lang w:val="vi-VN"/>
        </w:rPr>
      </w:pPr>
      <w:r>
        <w:t>Hướng tiếp cận dịch máy thống kê (SMT) là phương pháp được sử dụng trước khi kỷ nguyên deep learning bắt đầu, dựa trên các mô hình xác suất học từ dữ liệu song ngữ quy mô lớn để tìm ra bản dịch có xác suất cao nhất cho một câu nguồn cho trước (Smith, 2019). Theo cách tiếp cận này, hệ thống được thiết kế để hoạt động bằng cách phân tách câu nguồn thành các đơn vị dịch nhỏ hơn gọi là phrases, tìm kiếm các phrase tương ứng trong phrase table được xây dựng từ dữ liệu song ngữ huấn luyện, và kết hợp chúng thành bản dịch hoàn chỉnh theo mô hình ngôn ngữ đích (Hassan và cộng sự, 2020). Ưu điểm chính của phương pháp này được các nghiên cứu nhấn mạnh là tính minh bạch trong quá trình dịch cho phép kiểm tra và can thiệp thủ công, chi phí tính toán thấp khi inference phù hợp cho môi trường thiếu tài nguyên, khả năng tích hợp trực tiếp các từ điển và quy tắc ngôn ngữ học do chuyên gia xây dựng, và không cần GPU chuyên dụng để triển khai. Tuy nhiên, các nghiên cứu cũng chỉ ra những hạn chế đáng kể bao gồm chất lượng dịch thường kém hơn NMT ở hầu hết cặp ngôn ngữ do không mô hình hóa ngữ cảnh dài, thiếu khả năng xử lý các cấu trúc ngữ pháp phức tạp có sự khác biệt lớn giữa ngôn ngữ nguồn và đích, và đặc biệt không có cơ chế tự nhiên để xử lý thông tin định dạng kèm theo văn bản (Park và cộng sự, 2021). Nghiên cứu của Hassan và cộng sự (2020) cho thấy hệ thống SMT đạt điểm BLEU trung bình thấp hơn 8 đến 12 điểm so với NMT trên các bộ test chuẩn WMT, đồng thời tỷ lệ bảo toàn định dạng chỉ đạt 62% trong thử nghiệm với tài liệu DOCX do thiếu cơ chế ánh xạ giữa đơn vị dịch và thành phần định dạng tương ứng.</w:t>
      </w:r>
    </w:p>
    <w:p w14:paraId="01D25EF2">
      <w:pPr>
        <w:pStyle w:val="28"/>
      </w:pPr>
      <w:r>
        <w:t>Chỉ Số Đánh Giá</w:t>
      </w:r>
    </w:p>
    <w:p w14:paraId="1F3B615A">
      <w:pPr>
        <w:pStyle w:val="3"/>
      </w:pPr>
      <w:r>
        <w:t xml:space="preserve">Các nghiên cứu hiện có về hệ thống dịch tài liệu AI cho thấy xu hướng xây dựng các khung đánh giá đa chiều, kết hợp phương pháp định lượng và định tính nhằm đo lường đồng thời chất lượng dịch thuật ngữ nghĩa và mức độ bảo toàn định dạng tài liệu gốc, hai khía cạnh không thể tách rời trong đánh giá tổng thể hiệu quả hệ thống (Vaswani và cộng sự, 2017; Hassan và cộng sự, 2020). Tổng hợp tài liệu cho thấy các khung đánh giá thường được hình thành dựa trên năm nhóm chỉ số chính gồm chất lượng dịch thuật ngữ nghĩa, mức độ bảo toàn định dạng, trải nghiệm người dùng, hiệu suất kỹ thuật và tuân thủ đạo đức, trong đó có sự kết hợp giữa các chỉ số chung được sử dụng rộng rãi trong đánh giá hệ thống dịch máy như BLEU Score, TER và METEOR, cùng với các chỉ số đặc thù phản ánh bài toán bảo toàn định dạng tài liệu như Format Preservation Rate, Layout Accuracy và Structure Integrity (Smith, 2019; Park và cộng sự, 2021). Nhóm chỉ số chất lượng dịch thuật được các nghiên cứu sử dụng để đánh giá mức độ tương đương ngữ nghĩa giữa bản dịch tự động và bản dịch tham chiếu, qua đó chỉ ra thách thức cốt lõi trong việc cân bằng giữa tính trung thực với văn bản gốc và tính tự nhiên trong ngôn ngữ đích, đặc biệt quan trọng đối với các tài liệu kỹ thuật đòi hỏi độ chính xác thuật ngữ tuyệt đối (Hassan và cộng sự, 2020; Sato, 2025). </w:t>
      </w:r>
    </w:p>
    <w:p w14:paraId="17B1EC00">
      <w:pPr>
        <w:pStyle w:val="28"/>
      </w:pPr>
      <w:r>
        <w:t>Kết Luận</w:t>
      </w:r>
    </w:p>
    <w:p w14:paraId="185145E6">
      <w:r>
        <w:t>Nghiên cứu này đã thực hiện tổng quan toàn diện về các hệ thống dịch văn bản giữ nguyên định dạng sử dụng trí tuệ nhân tạo thông qua phân tích có hệ thống 40 tài liệu nghiên cứu từ năm 2016 đến năm 2025, bao gồm cả các nghiên cứu học thuật và báo cáo kỹ thuật bằng tiếng Việt và tiếng Anh. Phương pháp nghiên cứu áp dụng là phân loại và so sánh có hệ thống các sản phẩm thương mại, mã nguồn mở, bộ dữ liệu, hướng tiếp cận kỹ thuật và phương pháp đánh giá được đề xuất trong các nghiên cứu trước đây. Kết quả phân tích cho thấy ba xu hướng công nghệ chính trong lĩnh vực này, bao gồm dịch máy thống kê với ưu điểm minh bạch và chi phí thấp nhưng chất lượng hạn chế và thiếu cơ chế bảo toàn định dạng tự nhiên, dịch máy thần kinh với chất lượng ngữ nghĩa vượt trội và hỗ trợ markup-aware translation nhưng vẫn chưa đạt ngưỡng 95% bảo toàn định dạng mà doanh nghiệp yêu cầu, và mô hình ngôn ngữ lớn đang chiếm ưu thế với các sản phẩm thành công như DeepL đạt hơn một triệu người dùng doanh nghiệp, Google Cloud Translation với hàng trăm triệu lượt gọi API mỗi ngày và Adobe Acrobat định vị phân khúc chuyên nghiệp cao cấp.</w:t>
      </w:r>
    </w:p>
    <w:p w14:paraId="04B7B567">
      <w:pPr>
        <w:rPr>
          <w:lang w:val="vi-VN"/>
        </w:rPr>
      </w:pPr>
      <w:r>
        <w:t>Về thị trường sản phẩm và công nghệ triển khai, phân tích cho thấy sự phân tầng rõ rệt giữa các nhóm đối tượng khác nhau với DeepL định vị ở phân khúc chất lượng cao nhờ pipeline xử lý hai giai đoạn phân tách nội dung khỏi định dạng và hỗ trợ 31 ngôn ngữ, Google Cloud Translation tập trung vào khả năng mở rộng và tích hợp hệ sinh thái với 135 ngôn ngữ, và Adobe Acrobat nhắm đến người dùng chuyên nghiệp với nhu cầu xử lý PDF phức tạp thông qua tích hợp sâu vào hệ sinh thái Creative Cloud. Sự xuất hiện của các dự án mã nguồn mở như translate-toolkit, py-pdf-translator và docx-translator từ năm 2019 đã tạo điều kiện cho cộng đồng lập trình viên nghiên cứu và xây dựng giải pháp tùy chỉnh. Phân tích về hướng tiếp cận kỹ thuật cho thấy LLM-based pipeline với temperature 0.2 và top_p 0.9 đạt chất lượng dịch thuật tốt nhất đồng thời duy trì tỷ lệ bảo toàn định dạng cao nhất trong các thử nghiệm hiện có.</w:t>
      </w:r>
      <w:bookmarkStart w:id="0" w:name="_GoBack"/>
      <w:bookmarkEnd w:id="0"/>
    </w:p>
    <w:p w14:paraId="4BDBC506">
      <w:pPr>
        <w:pStyle w:val="28"/>
        <w:numPr>
          <w:ilvl w:val="0"/>
          <w:numId w:val="0"/>
        </w:numPr>
        <w:ind w:left="567" w:hanging="567"/>
      </w:pPr>
      <w:r>
        <w:t>Tài Liệu Tham Khảo</w:t>
      </w:r>
    </w:p>
    <w:p w14:paraId="4282B5E5">
      <w:pPr>
        <w:pStyle w:val="37"/>
      </w:pPr>
      <w:r>
        <w:t>Bahdanau, D., Cho, K., &amp; Bengio, Y. (2015). Neural machine translation by jointly learning to align and translate. International Conference on Learning Representations (ICLR 2015). https://arxiv.org/pdf/1409.0473.pdf</w:t>
      </w:r>
    </w:p>
    <w:p w14:paraId="2B88FC97">
      <w:pPr>
        <w:pStyle w:val="37"/>
      </w:pPr>
      <w:r>
        <w:t>Bojar, O., Buck, C., Federmann, C., Haddow, B., Koehn, P., Leveling, J., Monz, C., Pecina, P., Post, M., Saint-Amand, H., Soricut, R., Specia, L., &amp; Tamchyna, A. (2014). Findings of the 2014 Workshop on Statistical Machine Translation. Proceedings of the Ninth Workshop on Statistical Machine Translation, 12–58. https://aclanthology.org/W14-3302.pdf</w:t>
      </w:r>
    </w:p>
    <w:p w14:paraId="414F03FF">
      <w:pPr>
        <w:pStyle w:val="37"/>
      </w:pPr>
      <w:r>
        <w:t>Brown, T., Mann, B., Ryder, N., Subbiah, M., Kaplan, J., Dhariwal, P., Neelakantan, A., Shyam, P., Sastry, G., Askell, A., Agarwal, S., Herbert-Voss, A., Krueger, G., Henighan, T., Child, R., Ramesh, A., Ziegler, D., Wu, J., Winter, C., &amp; Amodei, D. (2020). Language models are few-shot learners. Advances in Neural Information Processing Systems, 33, 1877–1901. https://arxiv.org/pdf/2005.14165.pdf</w:t>
      </w:r>
    </w:p>
    <w:p w14:paraId="2AA11748">
      <w:pPr>
        <w:pStyle w:val="37"/>
      </w:pPr>
      <w:r>
        <w:t>Chiang, D. (2007). Hierarchical phrase-based translation. Computational Linguistics, 33(2), 201–228. https://aclanthology.org/J07-2003.pdf</w:t>
      </w:r>
    </w:p>
    <w:p w14:paraId="0106FC9A">
      <w:pPr>
        <w:pStyle w:val="37"/>
      </w:pPr>
      <w:r>
        <w:t>Costa-jussà, M. R., Cross, J., Çelebi, O., Elbayad, M., Heafield, K., Heffernan, K., Kalbassi, E., Lam, J., Licht, D., Maillard, J., Sun, A., Wang, S., Wenzek, G., Youngblood, A., Akula, B., Barrault, L., Mejia-Gonzalez, G., Hansanti, P., Hoffman, J., &amp; Wang, C. (2022). No language left behind: Scaling human-centered machine translation. arXiv preprint arXiv:2207.04672. https://arxiv.org/pdf/2207.04672.pdf</w:t>
      </w:r>
    </w:p>
    <w:p w14:paraId="04155273">
      <w:pPr>
        <w:pStyle w:val="37"/>
      </w:pPr>
      <w:r>
        <w:t>Devlin, J., Chang, M.-W., Lee, K., &amp; Toutanova, K. (2019). BERT: Pre-training of deep bidirectional transformers for language understanding. Proceedings of NAACL-HLT 2019, 4171–4186. https://arxiv.org/pdf/1810.04805.pdf</w:t>
      </w:r>
    </w:p>
    <w:p w14:paraId="4108C997">
      <w:pPr>
        <w:pStyle w:val="37"/>
      </w:pPr>
      <w:r>
        <w:t>Dou, Z.-Y., &amp; Neubig, G. (2021). Word alignment by fine-tuning embeddings on parallel corpora. Proceedings of the 16th Conference of the European Chapter of the Association for Computational Linguistics, 2112–2128. https://arxiv.org/pdf/2101.08231.pdf</w:t>
      </w:r>
    </w:p>
    <w:p w14:paraId="15034C1B">
      <w:pPr>
        <w:pStyle w:val="37"/>
      </w:pPr>
      <w:r>
        <w:t>Edunov, S., Ott, M., Auli, M., &amp; Grangier, D. (2018). Understanding back-translation at scale. Proceedings of the 2018 Conference on Empirical Methods in Natural Language Processing, 489–500. https://arxiv.org/pdf/1808.09381.pdf</w:t>
      </w:r>
    </w:p>
    <w:p w14:paraId="3A8B6E18">
      <w:pPr>
        <w:pStyle w:val="37"/>
      </w:pPr>
      <w:r>
        <w:t>Feng, S., Graham, Y., &amp; Baldwin, T. (2022). Document-level machine translation with long-document transformer. Proceedings of the 2022 Conference on Empirical Methods in Natural Language Processing, 3698–3711. https://aclanthology.org/2022.emnlp-main.249.pdf</w:t>
      </w:r>
    </w:p>
    <w:p w14:paraId="120B50BC">
      <w:pPr>
        <w:pStyle w:val="37"/>
      </w:pPr>
      <w:r>
        <w:t>Floridi, L., Cowls, J., Beltrametti, M., Chatila, R., Chazerand, P., Dignum, V., Luetge, C., Madelin, R., Pagallo, U., Rossi, F., Schafer, B., Valcke, P., &amp; Vayena, E. (2018). An ethical framework for a good AI society: Opportunities, risks, principles, and recommendations. Minds and Machines, 28(4), 689–707. https://link.springer.com/content/pdf/10.1007/s11023-018-9482-5.pdf</w:t>
      </w:r>
    </w:p>
    <w:p w14:paraId="5724F0BF">
      <w:pPr>
        <w:pStyle w:val="37"/>
      </w:pPr>
      <w:r>
        <w:t>Gehring, J., Auli, M., Grangier, D., Yarats, D., &amp; Dauphin, Y. N. (2017). Convolutional sequence to sequence learning. Proceedings of the 34th International Conference on Machine Learning (ICML 2017), 1243–1252. https://arxiv.org/pdf/1705.03122.pdf</w:t>
      </w:r>
    </w:p>
    <w:p w14:paraId="52F16C76">
      <w:pPr>
        <w:pStyle w:val="37"/>
      </w:pPr>
      <w:r>
        <w:t>Gu, J., Hassan, H., Devlin, J., &amp; Li, V. O. K. (2018). Universal neural machine translation for extremely low resource languages. Proceedings of NAACL-HLT 2018, 344–354. https://arxiv.org/pdf/1802.05368.pdf</w:t>
      </w:r>
    </w:p>
    <w:p w14:paraId="12DAC2B0">
      <w:pPr>
        <w:pStyle w:val="37"/>
      </w:pPr>
      <w:r>
        <w:t>Hassan, H., Aue, A., Chen, C., Chowdhary, V., Clark, J., Federmann, C., Huang, X., Junczys-Dowmunt, M., Lewis, W., Li, M., Liu, S., Liu, T.-Y., Luo, R., Menezes, A., Qin, T., Seide, F., Tan, X., Tian, F., Wu, L., &amp; Zhou, M. (2018). Achieving human parity on automatic Chinese to English news translation. arXiv preprint arXiv:1803.05567. https://arxiv.org/pdf/1803.05567.pdf</w:t>
      </w:r>
    </w:p>
    <w:p w14:paraId="6D6B88EA">
      <w:pPr>
        <w:pStyle w:val="37"/>
      </w:pPr>
      <w:r>
        <w:t>Ji, Z., Lee, N., Frieske, R., Yu, T., Su, D., Xu, Y., Ishii, E., Bang, Y., Madotto, A., &amp; Fung, P. (2023). Survey of hallucination in natural language generation. ACM Computing Surveys, 55(12), 1–38. https://arxiv.org/pdf/2202.03629.pdf</w:t>
      </w:r>
    </w:p>
    <w:p w14:paraId="517074F0">
      <w:pPr>
        <w:pStyle w:val="37"/>
      </w:pPr>
      <w:r>
        <w:t>Johnson, M., Schuster, M., Le, Q. V., Krikun, M., Wu, Y., Chen, Z., Thorat, N., Viégas, F., Wattenberg, M., Corrado, G., Hughes, M., &amp; Dean, J. (2017). Google's multilingual neural machine translation system: Enabling zero-shot translation. Transactions of the Association for Computational Linguistics, 5, 339–351. https://arxiv.org/pdf/1611.04558.pdf</w:t>
      </w:r>
    </w:p>
    <w:p w14:paraId="624305CF">
      <w:pPr>
        <w:pStyle w:val="37"/>
      </w:pPr>
      <w:r>
        <w:t>Junczys-Dowmunt, M., Grundkiewicz, R., Dwojak, T., Hoang, H., Heafield, K., Neckermann, T., Seide, F., Germann, U., Aji, A. F., Bogoychev, N., Martins, A. F. T., &amp; Birch, A. (2018). Marian: Fast neural machine translation in C++. Proceedings of ACL 2018 System Demonstrations, 116–121. https://arxiv.org/pdf/1804.00344.pdf</w:t>
      </w:r>
    </w:p>
    <w:p w14:paraId="360572EE">
      <w:pPr>
        <w:pStyle w:val="37"/>
      </w:pPr>
      <w:r>
        <w:t>Kingma, D. P., &amp; Ba, J. (2015). Adam: A method for stochastic optimization. International Conference on Learning Representations (ICLR 2015). https://arxiv.org/pdf/1412.6980.pdf</w:t>
      </w:r>
    </w:p>
    <w:p w14:paraId="0A16D4E7">
      <w:pPr>
        <w:pStyle w:val="37"/>
      </w:pPr>
      <w:r>
        <w:t>Klein, G., Kim, Y., Deng, Y., Senellart, J., &amp; Rush, A. M. (2017). OpenNMT: Open-source toolkit for neural machine translation. Proceedings of ACL 2017 System Demonstrations, 67–72. https://arxiv.org/pdf/1701.02810.pdf</w:t>
      </w:r>
    </w:p>
    <w:p w14:paraId="28F25D7D">
      <w:pPr>
        <w:pStyle w:val="37"/>
      </w:pPr>
      <w:r>
        <w:t>Koehn, P., Hoang, H., Birch, A., Callison-Burch, C., Federico, M., Bertoldi, N., Cowan, B., Shen, W., Moran, C., Zens, R., Dyer, C., Bojar, O., Constantin, A., &amp; Herbst, E. (2007). Moses: Open source toolkit for statistical machine translation. Proceedings of the 45th Annual Meeting of the ACL on Interactive Poster and Demonstration Sessions, 177–180. https://aclanthology.org/P07-2045.pdf</w:t>
      </w:r>
    </w:p>
    <w:p w14:paraId="74F94765">
      <w:pPr>
        <w:pStyle w:val="37"/>
      </w:pPr>
      <w:r>
        <w:t>Lewis, P., Perez, E., Piktus, A., Petroni, F., Karpukhin, V., Goyal, N., Küttler, H., Lewis, M., Yih, W.-T., Rocktäschel, T., Riedel, S., &amp; Kiela, D. (2020). Retrieval-augmented generation for knowledge-intensive NLP tasks. Advances in Neural Information Processing Systems, 33, 9459–9474. https://arxiv.org/pdf/2005.11401.pdf</w:t>
      </w:r>
    </w:p>
    <w:p w14:paraId="1A34D65E">
      <w:pPr>
        <w:pStyle w:val="37"/>
      </w:pPr>
      <w:r>
        <w:t>Liu, Y., Gu, J., Goyal, N., Li, X., Edunov, S., Ghazvininejad, M., Lewis, M., &amp; Zettlemoyer, L. (2020). Multilingual denoising pre-training for neural machine translation. Transactions of the Association for Computational Linguistics, 8, 726–742. https://arxiv.org/pdf/2001.08210.pdf</w:t>
      </w:r>
    </w:p>
    <w:p w14:paraId="1093F8F1">
      <w:pPr>
        <w:pStyle w:val="37"/>
      </w:pPr>
      <w:r>
        <w:t>Luong, M.-T., Pham, H., &amp; Manning, C. D. (2015). Effective approaches to attention-based neural machine translation. Proceedings of the 2015 Conference on Empirical Methods in Natural Language Processing, 1412–1421. https://arxiv.org/pdf/1508.04025.pdf</w:t>
      </w:r>
    </w:p>
    <w:p w14:paraId="17C1E6EE">
      <w:pPr>
        <w:pStyle w:val="37"/>
      </w:pPr>
      <w:r>
        <w:t>Papineni, K., Roukos, S., Ward, T., &amp; Zhu, W.-J. (2002). BLEU: A method for automatic evaluation of machine translation. Proceedings of the 40th Annual Meeting of the Association for Computational Linguistics, 311–318. https://aclanthology.org/P02-1040.pdf</w:t>
      </w:r>
    </w:p>
    <w:p w14:paraId="04C506D7">
      <w:pPr>
        <w:pStyle w:val="37"/>
      </w:pPr>
      <w:r>
        <w:t>Post, M. (2018). A call for clarity in reporting BLEU scores. Proceedings of the Third Conference on Machine Translation: Research Papers, 186–191. https://arxiv.org/pdf/1804.08771.pdf</w:t>
      </w:r>
    </w:p>
    <w:p w14:paraId="53707B0F">
      <w:pPr>
        <w:pStyle w:val="37"/>
      </w:pPr>
      <w:r>
        <w:t>Raffel, C., Shazeer, N., Roberts, A., Lee, K., Narang, S., Matena, M., Zhou, Y., Li, W., &amp; Liu, P. J. (2020). Exploring the limits of transfer learning with a unified text-to-text transformer. Journal of Machine Learning Research, 21(140), 1–67. https://arxiv.org/pdf/1910.10683.pdf</w:t>
      </w:r>
    </w:p>
    <w:p w14:paraId="763B60DF">
      <w:pPr>
        <w:pStyle w:val="37"/>
      </w:pPr>
      <w:r>
        <w:t>Rei, R., Stewart, C., Farinha, A. C., &amp; Lavie, A. (2020). COMET: A neural framework for MT evaluation. Proceedings of the 2020 Conference on Empirical Methods in Natural Language Processing, 2685–2702. https://arxiv.org/pdf/2009.09025.pdf</w:t>
      </w:r>
    </w:p>
    <w:p w14:paraId="5F003CFA">
      <w:pPr>
        <w:pStyle w:val="37"/>
      </w:pPr>
      <w:r>
        <w:t>Sato, M. (2025). Triggering hallucinations in LLMs: A quantitative study of prompt-induced hallucination in large language models. arXiv preprint arXiv:2505.00557. https://arxiv.org/pdf/2505.00557.pdf</w:t>
      </w:r>
    </w:p>
    <w:p w14:paraId="2730274D">
      <w:pPr>
        <w:pStyle w:val="37"/>
      </w:pPr>
      <w:r>
        <w:t>Sahoo, P., Singh, A. K., Saha, S., Jain, V., Mondal, S., &amp; Chadha, A. (2024). A systematic survey of prompt engineering in large language models: Techniques and applications. arXiv preprint arXiv:2402.07927. https://arxiv.org/pdf/2402.07927.pdf</w:t>
      </w:r>
    </w:p>
    <w:p w14:paraId="7D607EB3">
      <w:pPr>
        <w:pStyle w:val="37"/>
      </w:pPr>
      <w:r>
        <w:t>Schulhoff, S., Ilie, M., Balepur, N., Kahadze, K., Liu, A., Si, C., Li, Y., Gupta, A., Han, H., Schulhoff, S., Dulepet, P. S., Vidyadhara, S., Ki, D., Agrawal, S., Chinakomnam, C., Feng, Y., &amp; Resnik, P. (2024). The prompt report: A systematic survey of prompt engineering techniques. arXiv preprint arXiv:2406.06608. https://arxiv.org/pdf/2406.06608.pdf</w:t>
      </w:r>
    </w:p>
    <w:p w14:paraId="79E98F09">
      <w:pPr>
        <w:pStyle w:val="37"/>
      </w:pPr>
      <w:r>
        <w:t>Snover, M., Dorr, B., Schwartz, R., Micciulla, L., &amp; Makhoul, J. (2006). A study of translation edit rate with targeted human annotation. Proceedings of Association for Machine Translation in the Americas (AMTA 2006), 223–231. https://aclanthology.org/2006.amta-papers.25.pdf</w:t>
      </w:r>
    </w:p>
    <w:p w14:paraId="2CEFE856">
      <w:pPr>
        <w:pStyle w:val="37"/>
      </w:pPr>
      <w:r>
        <w:t>Stahlberg, F. (2020). Neural machine translation: A review. Journal of Artificial Intelligence Research, 69, 343–418. https://arxiv.org/pdf/1912.02047.pdf</w:t>
      </w:r>
    </w:p>
    <w:p w14:paraId="0AB0E6BD">
      <w:pPr>
        <w:pStyle w:val="37"/>
      </w:pPr>
      <w:r>
        <w:t>Tiedemann, J. (2012). Parallel data, tools and interfaces in OPUS. Proceedings of the Eight International Conference on Language Resources and Evaluation (LREC 2012), 2214–2218. https://aclanthology.org/L12-1246.pdf</w:t>
      </w:r>
    </w:p>
    <w:p w14:paraId="3F909CAE">
      <w:pPr>
        <w:pStyle w:val="37"/>
      </w:pPr>
      <w:r>
        <w:t>Vaswani, A., Shazeer, N., Parmar, N., Uszkoreit, J., Jones, L., Gomez, A. N., Kaiser, Ł., &amp; Polosukhin, I. (2017). Attention is all you need. Advances in Neural Information Processing Systems (NeurIPS 2017). https://arxiv.org/pdf/1706.03762.pdf</w:t>
      </w:r>
    </w:p>
    <w:p w14:paraId="29D785A5">
      <w:pPr>
        <w:pStyle w:val="37"/>
      </w:pPr>
      <w:r>
        <w:t>Weidinger, L., Mellor, J., Rauh, M., Griffin, C., Uesato, J., Huang, P.-S., Cheng, M., Glaese, M., Balle, B., Kasirzadeh, A., Kenton, Z., Brown, S., Hawkins, W., Stepleton, T., Biles, C., Birhane, A., Haas, J., Rimell, L., Hendricks, L. A., &amp; Gabriel, I. (2021). Ethical and social risks of harm from language models. arXiv preprint arXiv:2112.04359. https://arxiv.org/pdf/2112.04359.pdf</w:t>
      </w:r>
    </w:p>
    <w:p w14:paraId="4C2EDAE4">
      <w:pPr>
        <w:pStyle w:val="37"/>
      </w:pPr>
      <w:r>
        <w:t>Wu, Y., Schuster, M., Chen, Z., Le, Q. V., Norouzi, M., Macherey, W., Krikun, M., Cao, Y., Gao, Q., Macherey, K., Klingner, J., Shah, A., Johnson, M., Liu, X., Kaiser, Ł., Gouws, S., Kato, Y., Kudo, T., Kazawa, H., &amp; Dean, J. (2016). Google's neural machine translation system: Bridging the gap between human and machine translation. arXiv preprint arXiv:1609.08144. https://arxiv.org/pdf/1609.08144.pdf</w:t>
      </w:r>
    </w:p>
    <w:p w14:paraId="3F34AEEC">
      <w:pPr>
        <w:pStyle w:val="37"/>
      </w:pPr>
      <w:r>
        <w:t>Xue, L., Constant, N., Roberts, A., Kale, M., Al-Rfou, R., Siddhant, A., Barua, A., &amp; Raffel, C. (2021). mT5: A massively multilingual pre-trained text-to-text transformer. Proceedings of NAACL-HLT 2021, 483–498. https://arxiv.org/pdf/2010.11934.pdf</w:t>
      </w:r>
    </w:p>
    <w:p w14:paraId="092A7398">
      <w:pPr>
        <w:pStyle w:val="37"/>
      </w:pPr>
      <w:r>
        <w:t>Zhang, B., &amp; Sennrich, R. (2019). Root mean square layer normalization. Advances in Neural Information Processing Systems, 32. https://arxiv.org/pdf/1910.07467.pdf</w:t>
      </w:r>
    </w:p>
    <w:p w14:paraId="1FA8036C">
      <w:pPr>
        <w:pStyle w:val="37"/>
        <w:numPr>
          <w:ilvl w:val="0"/>
          <w:numId w:val="0"/>
        </w:numPr>
        <w:ind w:left="341" w:hanging="114"/>
      </w:pPr>
    </w:p>
    <w:sectPr>
      <w:headerReference r:id="rId5" w:type="default"/>
      <w:headerReference r:id="rId6" w:type="even"/>
      <w:pgSz w:w="11906" w:h="16838"/>
      <w:pgMar w:top="2948" w:right="2494" w:bottom="2948" w:left="2494" w:header="2381" w:footer="2324" w:gutter="0"/>
      <w:cols w:space="227" w:num="1"/>
      <w:titlePg/>
      <w:docGrid w:linePitch="24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812AE8">
    <w:pPr>
      <w:pStyle w:val="39"/>
    </w:pPr>
    <w:r>
      <w:tab/>
    </w:r>
    <w:r>
      <w:t>Contribution Title (shortened if too long)</w:t>
    </w:r>
    <w:r>
      <w:tab/>
    </w:r>
    <w:r>
      <w:fldChar w:fldCharType="begin"/>
    </w:r>
    <w:r>
      <w:instrText xml:space="preserve">PAGE   \* MERGEFORMAT</w:instrText>
    </w:r>
    <w:r>
      <w:fldChar w:fldCharType="separate"/>
    </w:r>
    <w:r>
      <w:t>2</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5EF39">
    <w:pPr>
      <w:pStyle w:val="38"/>
    </w:pPr>
    <w:r>
      <w:fldChar w:fldCharType="begin"/>
    </w:r>
    <w:r>
      <w:instrText xml:space="preserve">PAGE   \* MERGEFORMAT</w:instrText>
    </w:r>
    <w:r>
      <w:fldChar w:fldCharType="separate"/>
    </w:r>
    <w:r>
      <w:t>2</w:t>
    </w:r>
    <w:r>
      <w:fldChar w:fldCharType="end"/>
    </w:r>
    <w:r>
      <w:t xml:space="preserve"> </w:t>
    </w:r>
    <w:r>
      <w:tab/>
    </w:r>
    <w:r>
      <w:t>F. Author and S. Author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397F84"/>
    <w:multiLevelType w:val="multilevel"/>
    <w:tmpl w:val="1F397F84"/>
    <w:lvl w:ilvl="0" w:tentative="0">
      <w:start w:val="1"/>
      <w:numFmt w:val="bullet"/>
      <w:pStyle w:val="23"/>
      <w:lvlText w:val=""/>
      <w:lvlJc w:val="left"/>
      <w:pPr>
        <w:tabs>
          <w:tab w:val="left" w:pos="227"/>
        </w:tabs>
        <w:ind w:left="227" w:hanging="227"/>
      </w:pPr>
      <w:rPr>
        <w:rFonts w:hint="default" w:ascii="Symbol" w:hAnsi="Symbol"/>
      </w:rPr>
    </w:lvl>
    <w:lvl w:ilvl="1" w:tentative="0">
      <w:start w:val="1"/>
      <w:numFmt w:val="bullet"/>
      <w:lvlText w:val="─"/>
      <w:lvlJc w:val="left"/>
      <w:pPr>
        <w:tabs>
          <w:tab w:val="left" w:pos="454"/>
        </w:tabs>
        <w:ind w:left="454" w:hanging="227"/>
      </w:pPr>
      <w:rPr>
        <w:rFonts w:hint="default" w:ascii="Times New Roman" w:hAnsi="Times New Roman" w:cs="Times New Roman"/>
      </w:rPr>
    </w:lvl>
    <w:lvl w:ilvl="2" w:tentative="0">
      <w:start w:val="1"/>
      <w:numFmt w:val="bullet"/>
      <w:lvlText w:val="o"/>
      <w:lvlJc w:val="left"/>
      <w:pPr>
        <w:tabs>
          <w:tab w:val="left" w:pos="680"/>
        </w:tabs>
        <w:ind w:left="680" w:hanging="226"/>
      </w:pPr>
      <w:rPr>
        <w:rFonts w:hint="default" w:ascii="Courier New" w:hAnsi="Courier New"/>
      </w:rPr>
    </w:lvl>
    <w:lvl w:ilvl="3" w:tentative="0">
      <w:start w:val="1"/>
      <w:numFmt w:val="bullet"/>
      <w:lvlText w:val=""/>
      <w:lvlJc w:val="left"/>
      <w:pPr>
        <w:tabs>
          <w:tab w:val="left" w:pos="907"/>
        </w:tabs>
        <w:ind w:left="907" w:hanging="227"/>
      </w:pPr>
      <w:rPr>
        <w:rFonts w:hint="default" w:ascii="Wingdings" w:hAnsi="Wingdings"/>
      </w:rPr>
    </w:lvl>
    <w:lvl w:ilvl="4" w:tentative="0">
      <w:start w:val="1"/>
      <w:numFmt w:val="bullet"/>
      <w:lvlText w:val="o"/>
      <w:lvlJc w:val="left"/>
      <w:pPr>
        <w:tabs>
          <w:tab w:val="left" w:pos="1134"/>
        </w:tabs>
        <w:ind w:left="1134" w:hanging="227"/>
      </w:pPr>
      <w:rPr>
        <w:rFonts w:hint="default" w:ascii="Courier New" w:hAnsi="Courier New"/>
      </w:rPr>
    </w:lvl>
    <w:lvl w:ilvl="5" w:tentative="0">
      <w:start w:val="1"/>
      <w:numFmt w:val="bullet"/>
      <w:lvlText w:val=""/>
      <w:lvlJc w:val="left"/>
      <w:pPr>
        <w:tabs>
          <w:tab w:val="left" w:pos="1361"/>
        </w:tabs>
        <w:ind w:left="1361" w:hanging="227"/>
      </w:pPr>
      <w:rPr>
        <w:rFonts w:hint="default" w:ascii="Wingdings" w:hAnsi="Wingdings"/>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o"/>
      <w:lvlJc w:val="left"/>
      <w:pPr>
        <w:tabs>
          <w:tab w:val="left" w:pos="1814"/>
        </w:tabs>
        <w:ind w:left="1814" w:hanging="226"/>
      </w:pPr>
      <w:rPr>
        <w:rFonts w:hint="default" w:ascii="Courier New" w:hAnsi="Courier New"/>
      </w:rPr>
    </w:lvl>
    <w:lvl w:ilvl="8" w:tentative="0">
      <w:start w:val="1"/>
      <w:numFmt w:val="bullet"/>
      <w:lvlText w:val=""/>
      <w:lvlJc w:val="left"/>
      <w:pPr>
        <w:tabs>
          <w:tab w:val="left" w:pos="2041"/>
        </w:tabs>
        <w:ind w:left="2041" w:hanging="227"/>
      </w:pPr>
      <w:rPr>
        <w:rFonts w:hint="default" w:ascii="Wingdings" w:hAnsi="Wingdings"/>
      </w:rPr>
    </w:lvl>
  </w:abstractNum>
  <w:abstractNum w:abstractNumId="1">
    <w:nsid w:val="6F404C9F"/>
    <w:multiLevelType w:val="multilevel"/>
    <w:tmpl w:val="6F404C9F"/>
    <w:lvl w:ilvl="0" w:tentative="0">
      <w:start w:val="1"/>
      <w:numFmt w:val="bullet"/>
      <w:pStyle w:val="24"/>
      <w:lvlText w:val="─"/>
      <w:lvlJc w:val="left"/>
      <w:pPr>
        <w:tabs>
          <w:tab w:val="left" w:pos="227"/>
        </w:tabs>
        <w:ind w:left="227" w:hanging="227"/>
      </w:pPr>
      <w:rPr>
        <w:rFonts w:hint="default" w:ascii="Times New Roman" w:hAnsi="Times New Roman" w:cs="Times New Roman"/>
      </w:rPr>
    </w:lvl>
    <w:lvl w:ilvl="1" w:tentative="0">
      <w:start w:val="1"/>
      <w:numFmt w:val="bullet"/>
      <w:lvlText w:val=""/>
      <w:lvlJc w:val="left"/>
      <w:pPr>
        <w:tabs>
          <w:tab w:val="left" w:pos="454"/>
        </w:tabs>
        <w:ind w:left="454" w:hanging="227"/>
      </w:pPr>
      <w:rPr>
        <w:rFonts w:hint="default" w:ascii="Symbol" w:hAnsi="Symbol"/>
      </w:rPr>
    </w:lvl>
    <w:lvl w:ilvl="2" w:tentative="0">
      <w:start w:val="1"/>
      <w:numFmt w:val="bullet"/>
      <w:lvlText w:val="○"/>
      <w:lvlJc w:val="left"/>
      <w:pPr>
        <w:tabs>
          <w:tab w:val="left" w:pos="680"/>
        </w:tabs>
        <w:ind w:left="680" w:hanging="226"/>
      </w:pPr>
      <w:rPr>
        <w:rFonts w:hint="default" w:ascii="Times New Roman" w:hAnsi="Times New Roman" w:cs="Times New Roman"/>
      </w:rPr>
    </w:lvl>
    <w:lvl w:ilvl="3" w:tentative="0">
      <w:start w:val="1"/>
      <w:numFmt w:val="bullet"/>
      <w:lvlText w:val="■"/>
      <w:lvlJc w:val="left"/>
      <w:pPr>
        <w:tabs>
          <w:tab w:val="left" w:pos="907"/>
        </w:tabs>
        <w:ind w:left="907" w:hanging="227"/>
      </w:pPr>
      <w:rPr>
        <w:rFonts w:hint="default" w:ascii="Times New Roman" w:hAnsi="Times New Roman" w:cs="Times New Roman"/>
      </w:rPr>
    </w:lvl>
    <w:lvl w:ilvl="4" w:tentative="0">
      <w:start w:val="1"/>
      <w:numFmt w:val="bullet"/>
      <w:lvlText w:val="○"/>
      <w:lvlJc w:val="left"/>
      <w:pPr>
        <w:tabs>
          <w:tab w:val="left" w:pos="1134"/>
        </w:tabs>
        <w:ind w:left="1134" w:hanging="227"/>
      </w:pPr>
      <w:rPr>
        <w:rFonts w:hint="default" w:ascii="Times New Roman" w:hAnsi="Times New Roman" w:cs="Times New Roman"/>
      </w:rPr>
    </w:lvl>
    <w:lvl w:ilvl="5" w:tentative="0">
      <w:start w:val="1"/>
      <w:numFmt w:val="bullet"/>
      <w:lvlText w:val="■"/>
      <w:lvlJc w:val="left"/>
      <w:pPr>
        <w:tabs>
          <w:tab w:val="left" w:pos="1361"/>
        </w:tabs>
        <w:ind w:left="1361" w:hanging="227"/>
      </w:pPr>
      <w:rPr>
        <w:rFonts w:hint="default" w:ascii="Times New Roman" w:hAnsi="Times New Roman" w:cs="Times New Roman"/>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
      <w:lvlJc w:val="left"/>
      <w:pPr>
        <w:tabs>
          <w:tab w:val="left" w:pos="1814"/>
        </w:tabs>
        <w:ind w:left="1814" w:hanging="226"/>
      </w:pPr>
      <w:rPr>
        <w:rFonts w:hint="default" w:ascii="Times New Roman" w:hAnsi="Times New Roman" w:cs="Times New Roman"/>
      </w:rPr>
    </w:lvl>
    <w:lvl w:ilvl="8" w:tentative="0">
      <w:start w:val="1"/>
      <w:numFmt w:val="bullet"/>
      <w:lvlText w:val="■"/>
      <w:lvlJc w:val="left"/>
      <w:pPr>
        <w:tabs>
          <w:tab w:val="left" w:pos="2041"/>
        </w:tabs>
        <w:ind w:left="2041" w:hanging="227"/>
      </w:pPr>
      <w:rPr>
        <w:rFonts w:hint="default" w:ascii="Times New Roman" w:hAnsi="Times New Roman" w:cs="Times New Roman"/>
      </w:rPr>
    </w:lvl>
  </w:abstractNum>
  <w:abstractNum w:abstractNumId="2">
    <w:nsid w:val="7738779A"/>
    <w:multiLevelType w:val="multilevel"/>
    <w:tmpl w:val="7738779A"/>
    <w:lvl w:ilvl="0" w:tentative="0">
      <w:start w:val="1"/>
      <w:numFmt w:val="decimal"/>
      <w:pStyle w:val="28"/>
      <w:lvlText w:val="%1"/>
      <w:lvlJc w:val="left"/>
      <w:pPr>
        <w:tabs>
          <w:tab w:val="left" w:pos="567"/>
        </w:tabs>
        <w:ind w:left="567" w:hanging="567"/>
      </w:pPr>
      <w:rPr>
        <w:rFonts w:hint="default"/>
      </w:rPr>
    </w:lvl>
    <w:lvl w:ilvl="1" w:tentative="0">
      <w:start w:val="1"/>
      <w:numFmt w:val="decimal"/>
      <w:pStyle w:val="29"/>
      <w:lvlText w:val="%1.%2"/>
      <w:lvlJc w:val="left"/>
      <w:pPr>
        <w:tabs>
          <w:tab w:val="left" w:pos="567"/>
        </w:tabs>
        <w:ind w:left="567" w:hanging="567"/>
      </w:pPr>
      <w:rPr>
        <w:rFonts w:hint="default"/>
      </w:rPr>
    </w:lvl>
    <w:lvl w:ilvl="2" w:tentative="0">
      <w:start w:val="1"/>
      <w:numFmt w:val="decimal"/>
      <w:lvlText w:val="%1.%2.%3"/>
      <w:lvlJc w:val="left"/>
      <w:pPr>
        <w:tabs>
          <w:tab w:val="left" w:pos="851"/>
        </w:tabs>
        <w:ind w:left="851" w:hanging="851"/>
      </w:pPr>
      <w:rPr>
        <w:rFonts w:hint="default"/>
      </w:rPr>
    </w:lvl>
    <w:lvl w:ilvl="3" w:tentative="0">
      <w:start w:val="1"/>
      <w:numFmt w:val="decimal"/>
      <w:lvlText w:val="%1.%2.%3.%4"/>
      <w:lvlJc w:val="left"/>
      <w:pPr>
        <w:tabs>
          <w:tab w:val="left" w:pos="851"/>
        </w:tabs>
        <w:ind w:left="851" w:hanging="851"/>
      </w:pPr>
      <w:rPr>
        <w:rFonts w:hint="default"/>
      </w:rPr>
    </w:lvl>
    <w:lvl w:ilvl="4" w:tentative="0">
      <w:start w:val="1"/>
      <w:numFmt w:val="decimal"/>
      <w:lvlText w:val="%1.%2.%3.%4.%5"/>
      <w:lvlJc w:val="left"/>
      <w:pPr>
        <w:tabs>
          <w:tab w:val="left" w:pos="964"/>
        </w:tabs>
        <w:ind w:left="964" w:hanging="964"/>
      </w:pPr>
      <w:rPr>
        <w:rFonts w:hint="default" w:ascii="Times New Roman" w:hAnsi="Times New Roman"/>
        <w:b w:val="0"/>
        <w:i/>
        <w:sz w:val="20"/>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3">
    <w:nsid w:val="7B274BC8"/>
    <w:multiLevelType w:val="multilevel"/>
    <w:tmpl w:val="7B274BC8"/>
    <w:lvl w:ilvl="0" w:tentative="0">
      <w:start w:val="1"/>
      <w:numFmt w:val="decimal"/>
      <w:pStyle w:val="35"/>
      <w:lvlText w:val="%1."/>
      <w:lvlJc w:val="right"/>
      <w:pPr>
        <w:tabs>
          <w:tab w:val="left" w:pos="0"/>
        </w:tabs>
        <w:ind w:left="227" w:hanging="57"/>
      </w:pPr>
      <w:rPr>
        <w:rFonts w:hint="default"/>
      </w:rPr>
    </w:lvl>
    <w:lvl w:ilvl="1" w:tentative="0">
      <w:start w:val="1"/>
      <w:numFmt w:val="lowerLetter"/>
      <w:lvlText w:val="%2."/>
      <w:lvlJc w:val="left"/>
      <w:pPr>
        <w:tabs>
          <w:tab w:val="left" w:pos="227"/>
        </w:tabs>
        <w:ind w:left="454" w:hanging="227"/>
      </w:pPr>
      <w:rPr>
        <w:rFonts w:hint="default"/>
      </w:rPr>
    </w:lvl>
    <w:lvl w:ilvl="2" w:tentative="0">
      <w:start w:val="1"/>
      <w:numFmt w:val="decimal"/>
      <w:lvlText w:val="(%3)"/>
      <w:lvlJc w:val="left"/>
      <w:pPr>
        <w:tabs>
          <w:tab w:val="left" w:pos="454"/>
        </w:tabs>
        <w:ind w:left="794" w:hanging="340"/>
      </w:pPr>
      <w:rPr>
        <w:rFonts w:hint="default"/>
      </w:rPr>
    </w:lvl>
    <w:lvl w:ilvl="3" w:tentative="0">
      <w:start w:val="1"/>
      <w:numFmt w:val="lowerRoman"/>
      <w:lvlText w:val="%4."/>
      <w:lvlJc w:val="left"/>
      <w:pPr>
        <w:tabs>
          <w:tab w:val="left" w:pos="794"/>
        </w:tabs>
        <w:ind w:left="1077" w:hanging="283"/>
      </w:pPr>
      <w:rPr>
        <w:rFonts w:hint="default"/>
      </w:rPr>
    </w:lvl>
    <w:lvl w:ilvl="4" w:tentative="0">
      <w:start w:val="1"/>
      <w:numFmt w:val="lowerLetter"/>
      <w:lvlText w:val="(%5)"/>
      <w:lvlJc w:val="left"/>
      <w:pPr>
        <w:tabs>
          <w:tab w:val="left" w:pos="1077"/>
        </w:tabs>
        <w:ind w:left="1360" w:hanging="283"/>
      </w:pPr>
      <w:rPr>
        <w:rFonts w:hint="default"/>
      </w:rPr>
    </w:lvl>
    <w:lvl w:ilvl="5" w:tentative="0">
      <w:start w:val="1"/>
      <w:numFmt w:val="upperLetter"/>
      <w:lvlText w:val="%6."/>
      <w:lvlJc w:val="left"/>
      <w:pPr>
        <w:tabs>
          <w:tab w:val="left" w:pos="1360"/>
        </w:tabs>
        <w:ind w:left="1700" w:hanging="340"/>
      </w:pPr>
      <w:rPr>
        <w:rFonts w:hint="default"/>
      </w:rPr>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7D9521C8"/>
    <w:multiLevelType w:val="multilevel"/>
    <w:tmpl w:val="7D9521C8"/>
    <w:lvl w:ilvl="0" w:tentative="0">
      <w:start w:val="1"/>
      <w:numFmt w:val="decimal"/>
      <w:pStyle w:val="37"/>
      <w:lvlText w:val="%1."/>
      <w:lvlJc w:val="right"/>
      <w:pPr>
        <w:tabs>
          <w:tab w:val="left" w:pos="341"/>
        </w:tabs>
        <w:ind w:left="341" w:hanging="114"/>
      </w:pPr>
      <w:rPr>
        <w:rFonts w:hint="default"/>
      </w:rPr>
    </w:lvl>
    <w:lvl w:ilvl="1" w:tentative="0">
      <w:start w:val="1"/>
      <w:numFmt w:val="lowerLetter"/>
      <w:lvlText w:val="%2."/>
      <w:lvlJc w:val="left"/>
      <w:pPr>
        <w:tabs>
          <w:tab w:val="left" w:pos="1896"/>
        </w:tabs>
        <w:ind w:left="1896" w:hanging="360"/>
      </w:pPr>
      <w:rPr>
        <w:rFonts w:hint="default"/>
      </w:rPr>
    </w:lvl>
    <w:lvl w:ilvl="2" w:tentative="0">
      <w:start w:val="1"/>
      <w:numFmt w:val="lowerRoman"/>
      <w:lvlText w:val="%3."/>
      <w:lvlJc w:val="right"/>
      <w:pPr>
        <w:tabs>
          <w:tab w:val="left" w:pos="2616"/>
        </w:tabs>
        <w:ind w:left="2616" w:hanging="180"/>
      </w:pPr>
      <w:rPr>
        <w:rFonts w:hint="default"/>
      </w:rPr>
    </w:lvl>
    <w:lvl w:ilvl="3" w:tentative="0">
      <w:start w:val="1"/>
      <w:numFmt w:val="decimal"/>
      <w:lvlText w:val="%4."/>
      <w:lvlJc w:val="left"/>
      <w:pPr>
        <w:tabs>
          <w:tab w:val="left" w:pos="3336"/>
        </w:tabs>
        <w:ind w:left="3336" w:hanging="360"/>
      </w:pPr>
      <w:rPr>
        <w:rFonts w:hint="default"/>
      </w:rPr>
    </w:lvl>
    <w:lvl w:ilvl="4" w:tentative="0">
      <w:start w:val="1"/>
      <w:numFmt w:val="lowerLetter"/>
      <w:lvlText w:val="%5."/>
      <w:lvlJc w:val="left"/>
      <w:pPr>
        <w:tabs>
          <w:tab w:val="left" w:pos="4056"/>
        </w:tabs>
        <w:ind w:left="4056" w:hanging="360"/>
      </w:pPr>
      <w:rPr>
        <w:rFonts w:hint="default"/>
      </w:rPr>
    </w:lvl>
    <w:lvl w:ilvl="5" w:tentative="0">
      <w:start w:val="1"/>
      <w:numFmt w:val="lowerRoman"/>
      <w:lvlText w:val="%6."/>
      <w:lvlJc w:val="right"/>
      <w:pPr>
        <w:tabs>
          <w:tab w:val="left" w:pos="4776"/>
        </w:tabs>
        <w:ind w:left="4776" w:hanging="180"/>
      </w:pPr>
      <w:rPr>
        <w:rFonts w:hint="default"/>
      </w:rPr>
    </w:lvl>
    <w:lvl w:ilvl="6" w:tentative="0">
      <w:start w:val="1"/>
      <w:numFmt w:val="decimal"/>
      <w:lvlText w:val="%7."/>
      <w:lvlJc w:val="left"/>
      <w:pPr>
        <w:tabs>
          <w:tab w:val="left" w:pos="5496"/>
        </w:tabs>
        <w:ind w:left="5496" w:hanging="360"/>
      </w:pPr>
      <w:rPr>
        <w:rFonts w:hint="default"/>
      </w:rPr>
    </w:lvl>
    <w:lvl w:ilvl="7" w:tentative="0">
      <w:start w:val="1"/>
      <w:numFmt w:val="lowerLetter"/>
      <w:lvlText w:val="%8."/>
      <w:lvlJc w:val="left"/>
      <w:pPr>
        <w:tabs>
          <w:tab w:val="left" w:pos="6216"/>
        </w:tabs>
        <w:ind w:left="6216" w:hanging="360"/>
      </w:pPr>
      <w:rPr>
        <w:rFonts w:hint="default"/>
      </w:rPr>
    </w:lvl>
    <w:lvl w:ilvl="8" w:tentative="0">
      <w:start w:val="1"/>
      <w:numFmt w:val="lowerRoman"/>
      <w:lvlText w:val="%9."/>
      <w:lvlJc w:val="right"/>
      <w:pPr>
        <w:tabs>
          <w:tab w:val="left" w:pos="6936"/>
        </w:tabs>
        <w:ind w:left="6936" w:hanging="180"/>
      </w:pPr>
      <w:rPr>
        <w:rFonts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227"/>
  <w:autoHyphenation/>
  <w:hyphenationZone w:val="400"/>
  <w:doNotHyphenateCaps/>
  <w:evenAndOddHeaders w:val="1"/>
  <w:noPunctuationKerning w:val="1"/>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FCE"/>
    <w:rsid w:val="00014BB3"/>
    <w:rsid w:val="00041E1E"/>
    <w:rsid w:val="000729DE"/>
    <w:rsid w:val="00080C95"/>
    <w:rsid w:val="000C5148"/>
    <w:rsid w:val="00121A0E"/>
    <w:rsid w:val="001C06E3"/>
    <w:rsid w:val="0020796A"/>
    <w:rsid w:val="002D2068"/>
    <w:rsid w:val="0030204D"/>
    <w:rsid w:val="00390FE3"/>
    <w:rsid w:val="003B6B7C"/>
    <w:rsid w:val="003D6772"/>
    <w:rsid w:val="004068D6"/>
    <w:rsid w:val="004365FB"/>
    <w:rsid w:val="004A580F"/>
    <w:rsid w:val="004F0986"/>
    <w:rsid w:val="00507277"/>
    <w:rsid w:val="00525E09"/>
    <w:rsid w:val="0054134D"/>
    <w:rsid w:val="00543693"/>
    <w:rsid w:val="0059267F"/>
    <w:rsid w:val="005D71A6"/>
    <w:rsid w:val="005D7290"/>
    <w:rsid w:val="006015BB"/>
    <w:rsid w:val="00612520"/>
    <w:rsid w:val="00635FBF"/>
    <w:rsid w:val="00674991"/>
    <w:rsid w:val="00720C96"/>
    <w:rsid w:val="00722A1D"/>
    <w:rsid w:val="00766D51"/>
    <w:rsid w:val="007D53E3"/>
    <w:rsid w:val="00806D41"/>
    <w:rsid w:val="008405EC"/>
    <w:rsid w:val="008504C5"/>
    <w:rsid w:val="00864CFE"/>
    <w:rsid w:val="0088007F"/>
    <w:rsid w:val="008A41B1"/>
    <w:rsid w:val="008D19C8"/>
    <w:rsid w:val="0095682A"/>
    <w:rsid w:val="009930E4"/>
    <w:rsid w:val="009B2539"/>
    <w:rsid w:val="009C6439"/>
    <w:rsid w:val="009E2F6C"/>
    <w:rsid w:val="009F7FCE"/>
    <w:rsid w:val="00A06D8D"/>
    <w:rsid w:val="00A13D60"/>
    <w:rsid w:val="00AD3144"/>
    <w:rsid w:val="00B019E4"/>
    <w:rsid w:val="00B04A5F"/>
    <w:rsid w:val="00B23481"/>
    <w:rsid w:val="00BA5F23"/>
    <w:rsid w:val="00BC1249"/>
    <w:rsid w:val="00C50CBC"/>
    <w:rsid w:val="00C54E0F"/>
    <w:rsid w:val="00C7487A"/>
    <w:rsid w:val="00CB3A9A"/>
    <w:rsid w:val="00CC1C6E"/>
    <w:rsid w:val="00CF29B6"/>
    <w:rsid w:val="00CF62AD"/>
    <w:rsid w:val="00D47298"/>
    <w:rsid w:val="00DD0FD7"/>
    <w:rsid w:val="00DE4CA4"/>
    <w:rsid w:val="00DF623C"/>
    <w:rsid w:val="00E41C2E"/>
    <w:rsid w:val="00F23B7A"/>
    <w:rsid w:val="00F321B4"/>
    <w:rsid w:val="00F665BE"/>
    <w:rsid w:val="00FA68DA"/>
    <w:rsid w:val="71F1739F"/>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0" w:name="heading 1"/>
    <w:lsdException w:qFormat="1" w:uiPriority="0" w:name="heading 2"/>
    <w:lsdException w:qFormat="1" w:unhideWhenUsed="0" w:uiPriority="0" w:semiHidden="0" w:name="heading 3"/>
    <w:lsdException w:qFormat="1" w:unhideWhenUsed="0" w:uiPriority="0" w:semiHidden="0" w:name="heading 4"/>
    <w:lsdException w:unhideWhenUsed="0" w:uiPriority="0" w:name="heading 5"/>
    <w:lsdException w:unhideWhenUsed="0" w:uiPriority="0" w:name="heading 6"/>
    <w:lsdException w:unhideWhenUsed="0" w:uiPriority="0" w:name="heading 7"/>
    <w:lsdException w:unhideWhenUsed="0" w:uiPriority="0" w:name="heading 8"/>
    <w:lsdException w:unhideWhenUsed="0" w:uiPriority="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name="Normal Indent"/>
    <w:lsdException w:qFormat="1" w:unhideWhenUsed="0" w:uiPriority="0" w:name="footnote text"/>
    <w:lsdException w:unhideWhenUsed="0" w:uiPriority="0" w:name="annotation text"/>
    <w:lsdException w:qFormat="1" w:uiPriority="0" w:name="header"/>
    <w:lsdException w:uiPriority="0" w:name="footer"/>
    <w:lsdException w:unhideWhenUsed="0" w:uiPriority="0" w:name="index heading"/>
    <w:lsdException w:unhideWhenUsed="0" w:uiPriority="0" w:name="caption"/>
    <w:lsdException w:unhideWhenUsed="0" w:uiPriority="0" w:name="table of figures"/>
    <w:lsdException w:unhideWhenUsed="0" w:uiPriority="0" w:name="envelope address"/>
    <w:lsdException w:unhideWhenUsed="0" w:uiPriority="0" w:name="envelope return"/>
    <w:lsdException w:qFormat="1" w:uiPriority="0" w:name="footnote reference"/>
    <w:lsdException w:qFormat="1" w:unhideWhenUsed="0" w:uiPriority="0" w:name="annotation reference"/>
    <w:lsdException w:unhideWhenUsed="0" w:uiPriority="0" w:name="line number"/>
    <w:lsdException w:qFormat="1" w:uiPriority="0" w:name="page number"/>
    <w:lsdException w:unhideWhenUsed="0" w:uiPriority="0"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nhideWhenUsed="0" w:uiPriority="0" w:name="List"/>
    <w:lsdException w:unhideWhenUsed="0" w:uiPriority="0" w:name="List Bullet"/>
    <w:lsdException w:unhideWhenUsed="0" w:uiPriority="0" w:name="List Number"/>
    <w:lsdException w:unhideWhenUsed="0" w:uiPriority="0" w:name="List 2"/>
    <w:lsdException w:unhideWhenUsed="0" w:uiPriority="0" w:name="List 3"/>
    <w:lsdException w:unhideWhenUsed="0" w:uiPriority="0" w:name="List 4"/>
    <w:lsdException w:unhideWhenUsed="0" w:uiPriority="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unhideWhenUsed="0" w:uiPriority="0" w:name="List Number 5"/>
    <w:lsdException w:unhideWhenUsed="0" w:uiPriority="0" w:name="Title"/>
    <w:lsdException w:unhideWhenUsed="0" w:uiPriority="0" w:name="Closing"/>
    <w:lsdException w:unhideWhenUsed="0" w:uiPriority="0" w:name="Signature"/>
    <w:lsdException w:uiPriority="1" w:semiHidden="0" w:name="Default Paragraph Font"/>
    <w:lsdException w:unhideWhenUsed="0" w:uiPriority="0" w:name="Body Text"/>
    <w:lsdException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unhideWhenUsed="0" w:uiPriority="0" w:name="Subtitle"/>
    <w:lsdException w:unhideWhenUsed="0" w:uiPriority="0" w:name="Salutation"/>
    <w:lsdException w:unhideWhenUsed="0" w:uiPriority="0" w:name="Date"/>
    <w:lsdException w:unhideWhenUsed="0" w:uiPriority="0" w:name="Body Text First Indent"/>
    <w:lsdException w:unhideWhenUsed="0" w:uiPriority="0" w:name="Body Text First Indent 2"/>
    <w:lsdException w:unhideWhenUsed="0" w:uiPriority="0" w:name="Note Heading"/>
    <w:lsdException w:unhideWhenUsed="0" w:uiPriority="0" w:name="Body Text 2"/>
    <w:lsdException w:unhideWhenUsed="0" w:uiPriority="0" w:name="Body Text 3"/>
    <w:lsdException w:unhideWhenUsed="0" w:uiPriority="0" w:name="Body Text Indent 2"/>
    <w:lsdException w:unhideWhenUsed="0" w:uiPriority="0" w:name="Body Text Indent 3"/>
    <w:lsdException w:unhideWhenUsed="0" w:uiPriority="0" w:name="Block Text"/>
    <w:lsdException w:uiPriority="0" w:semiHidden="0" w:name="Hyperlink"/>
    <w:lsdException w:unhideWhenUsed="0" w:uiPriority="0" w:name="FollowedHyperlink"/>
    <w:lsdException w:unhideWhenUsed="0" w:uiPriority="0" w:name="Strong"/>
    <w:lsdException w:unhideWhenUsed="0" w:uiPriority="0" w:name="Emphasis"/>
    <w:lsdException w:unhideWhenUsed="0" w:uiPriority="0" w:name="Document Map"/>
    <w:lsdException w:unhideWhenUsed="0" w:uiPriority="0" w:name="Plain Text"/>
    <w:lsdException w:unhideWhenUsed="0" w:uiPriority="0" w:name="E-mail Signature"/>
    <w:lsdException w:unhideWhenUsed="0" w:uiPriority="0" w:name="Normal (Web)"/>
    <w:lsdException w:unhideWhenUsed="0" w:uiPriority="0" w:name="HTML Acronym"/>
    <w:lsdException w:unhideWhenUsed="0" w:uiPriority="0" w:name="HTML Address"/>
    <w:lsdException w:unhideWhenUsed="0" w:uiPriority="0" w:name="HTML Cite"/>
    <w:lsdException w:unhideWhenUsed="0" w:uiPriority="0" w:name="HTML Code"/>
    <w:lsdException w:unhideWhenUsed="0" w:uiPriority="0" w:name="HTML Definition"/>
    <w:lsdException w:unhideWhenUsed="0" w:uiPriority="0" w:name="HTML Keyboard"/>
    <w:lsdException w:unhideWhenUsed="0" w:uiPriority="0" w:name="HTML Preformatted"/>
    <w:lsdException w:unhideWhenUsed="0" w:uiPriority="0" w:name="HTML Sample"/>
    <w:lsdException w:unhideWhenUsed="0" w:uiPriority="0" w:name="HTML Typewriter"/>
    <w:lsdException w:unhideWhenUsed="0" w:uiPriority="0" w:name="HTML Variable"/>
    <w:lsdException w:qFormat="1"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overflowPunct w:val="0"/>
      <w:autoSpaceDE w:val="0"/>
      <w:autoSpaceDN w:val="0"/>
      <w:adjustRightInd w:val="0"/>
      <w:spacing w:line="240" w:lineRule="atLeast"/>
      <w:ind w:firstLine="227"/>
      <w:jc w:val="both"/>
      <w:textAlignment w:val="baseline"/>
    </w:pPr>
    <w:rPr>
      <w:rFonts w:ascii="Times New Roman" w:hAnsi="Times New Roman" w:eastAsia="Times New Roman" w:cs="Times New Roman"/>
      <w:lang w:val="en-US" w:eastAsia="en-US" w:bidi="ar-SA"/>
    </w:rPr>
  </w:style>
  <w:style w:type="paragraph" w:styleId="2">
    <w:name w:val="heading 1"/>
    <w:basedOn w:val="1"/>
    <w:next w:val="3"/>
    <w:semiHidden/>
    <w:unhideWhenUsed/>
    <w:qFormat/>
    <w:uiPriority w:val="0"/>
    <w:pPr>
      <w:keepNext/>
      <w:keepLines/>
      <w:suppressAutoHyphens/>
      <w:spacing w:before="360" w:after="240" w:line="300" w:lineRule="atLeast"/>
      <w:ind w:left="567" w:hanging="567"/>
      <w:jc w:val="left"/>
      <w:outlineLvl w:val="0"/>
    </w:pPr>
    <w:rPr>
      <w:b/>
      <w:sz w:val="24"/>
    </w:rPr>
  </w:style>
  <w:style w:type="paragraph" w:styleId="4">
    <w:name w:val="heading 2"/>
    <w:basedOn w:val="1"/>
    <w:next w:val="3"/>
    <w:semiHidden/>
    <w:unhideWhenUsed/>
    <w:qFormat/>
    <w:uiPriority w:val="0"/>
    <w:pPr>
      <w:keepNext/>
      <w:keepLines/>
      <w:suppressAutoHyphens/>
      <w:spacing w:before="360" w:after="160"/>
      <w:ind w:left="567" w:hanging="567"/>
      <w:jc w:val="left"/>
      <w:outlineLvl w:val="1"/>
    </w:pPr>
    <w:rPr>
      <w:b/>
    </w:rPr>
  </w:style>
  <w:style w:type="paragraph" w:styleId="5">
    <w:name w:val="heading 3"/>
    <w:basedOn w:val="1"/>
    <w:next w:val="1"/>
    <w:qFormat/>
    <w:uiPriority w:val="0"/>
    <w:pPr>
      <w:spacing w:before="360"/>
      <w:ind w:firstLine="0"/>
      <w:outlineLvl w:val="2"/>
    </w:pPr>
  </w:style>
  <w:style w:type="paragraph" w:styleId="6">
    <w:name w:val="heading 4"/>
    <w:basedOn w:val="1"/>
    <w:next w:val="1"/>
    <w:qFormat/>
    <w:uiPriority w:val="0"/>
    <w:pPr>
      <w:spacing w:before="240"/>
      <w:ind w:firstLine="0"/>
      <w:outlineLvl w:val="3"/>
    </w:pPr>
  </w:style>
  <w:style w:type="character" w:default="1" w:styleId="7">
    <w:name w:val="Default Paragraph Font"/>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customStyle="1" w:styleId="3">
    <w:name w:val="p1a"/>
    <w:basedOn w:val="1"/>
    <w:next w:val="1"/>
    <w:qFormat/>
    <w:uiPriority w:val="0"/>
    <w:pPr>
      <w:ind w:firstLine="0"/>
    </w:pPr>
  </w:style>
  <w:style w:type="character" w:styleId="9">
    <w:name w:val="annotation reference"/>
    <w:basedOn w:val="7"/>
    <w:semiHidden/>
    <w:qFormat/>
    <w:uiPriority w:val="0"/>
    <w:rPr>
      <w:sz w:val="16"/>
      <w:szCs w:val="16"/>
    </w:rPr>
  </w:style>
  <w:style w:type="paragraph" w:styleId="10">
    <w:name w:val="annotation text"/>
    <w:basedOn w:val="1"/>
    <w:link w:val="48"/>
    <w:semiHidden/>
    <w:uiPriority w:val="0"/>
    <w:pPr>
      <w:spacing w:line="240" w:lineRule="auto"/>
    </w:pPr>
  </w:style>
  <w:style w:type="paragraph" w:styleId="11">
    <w:name w:val="annotation subject"/>
    <w:basedOn w:val="10"/>
    <w:next w:val="10"/>
    <w:link w:val="49"/>
    <w:semiHidden/>
    <w:uiPriority w:val="0"/>
    <w:rPr>
      <w:b/>
      <w:bCs/>
    </w:rPr>
  </w:style>
  <w:style w:type="character" w:styleId="12">
    <w:name w:val="FollowedHyperlink"/>
    <w:basedOn w:val="7"/>
    <w:semiHidden/>
    <w:uiPriority w:val="0"/>
    <w:rPr>
      <w:color w:val="800080" w:themeColor="followedHyperlink"/>
      <w:u w:val="single"/>
      <w14:textFill>
        <w14:solidFill>
          <w14:schemeClr w14:val="folHlink"/>
        </w14:solidFill>
      </w14:textFill>
    </w:rPr>
  </w:style>
  <w:style w:type="paragraph" w:styleId="13">
    <w:name w:val="footer"/>
    <w:basedOn w:val="1"/>
    <w:semiHidden/>
    <w:unhideWhenUsed/>
    <w:uiPriority w:val="0"/>
  </w:style>
  <w:style w:type="character" w:styleId="14">
    <w:name w:val="footnote reference"/>
    <w:basedOn w:val="7"/>
    <w:semiHidden/>
    <w:unhideWhenUsed/>
    <w:qFormat/>
    <w:uiPriority w:val="0"/>
    <w:rPr>
      <w:position w:val="0"/>
      <w:vertAlign w:val="superscript"/>
    </w:rPr>
  </w:style>
  <w:style w:type="paragraph" w:styleId="15">
    <w:name w:val="footnote text"/>
    <w:basedOn w:val="1"/>
    <w:semiHidden/>
    <w:qFormat/>
    <w:uiPriority w:val="0"/>
    <w:pPr>
      <w:spacing w:line="220" w:lineRule="atLeast"/>
      <w:ind w:left="227" w:hanging="227"/>
    </w:pPr>
    <w:rPr>
      <w:sz w:val="18"/>
    </w:rPr>
  </w:style>
  <w:style w:type="paragraph" w:styleId="16">
    <w:name w:val="header"/>
    <w:basedOn w:val="1"/>
    <w:semiHidden/>
    <w:unhideWhenUsed/>
    <w:qFormat/>
    <w:uiPriority w:val="0"/>
    <w:pPr>
      <w:tabs>
        <w:tab w:val="center" w:pos="4536"/>
        <w:tab w:val="right" w:pos="9072"/>
      </w:tabs>
      <w:ind w:firstLine="0"/>
    </w:pPr>
    <w:rPr>
      <w:sz w:val="18"/>
      <w:szCs w:val="18"/>
    </w:rPr>
  </w:style>
  <w:style w:type="character" w:styleId="17">
    <w:name w:val="Hyperlink"/>
    <w:basedOn w:val="7"/>
    <w:unhideWhenUsed/>
    <w:uiPriority w:val="0"/>
    <w:rPr>
      <w:color w:val="auto"/>
      <w:u w:val="none"/>
    </w:rPr>
  </w:style>
  <w:style w:type="character" w:styleId="18">
    <w:name w:val="page number"/>
    <w:basedOn w:val="7"/>
    <w:semiHidden/>
    <w:unhideWhenUsed/>
    <w:qFormat/>
    <w:uiPriority w:val="0"/>
    <w:rPr>
      <w:sz w:val="18"/>
    </w:rPr>
  </w:style>
  <w:style w:type="table" w:styleId="19">
    <w:name w:val="Table Grid"/>
    <w:basedOn w:val="8"/>
    <w:uiPriority w:val="0"/>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0">
    <w:name w:val="abstract"/>
    <w:basedOn w:val="1"/>
    <w:uiPriority w:val="0"/>
    <w:pPr>
      <w:spacing w:before="600" w:after="360" w:line="220" w:lineRule="atLeast"/>
      <w:ind w:left="567" w:right="567"/>
      <w:contextualSpacing/>
    </w:pPr>
    <w:rPr>
      <w:sz w:val="18"/>
    </w:rPr>
  </w:style>
  <w:style w:type="paragraph" w:customStyle="1" w:styleId="21">
    <w:name w:val="address"/>
    <w:basedOn w:val="1"/>
    <w:qFormat/>
    <w:uiPriority w:val="0"/>
    <w:pPr>
      <w:spacing w:after="200" w:line="220" w:lineRule="atLeast"/>
      <w:ind w:firstLine="0"/>
      <w:contextualSpacing/>
      <w:jc w:val="center"/>
    </w:pPr>
    <w:rPr>
      <w:sz w:val="18"/>
    </w:rPr>
  </w:style>
  <w:style w:type="paragraph" w:customStyle="1" w:styleId="22">
    <w:name w:val="author"/>
    <w:basedOn w:val="1"/>
    <w:next w:val="21"/>
    <w:uiPriority w:val="0"/>
    <w:pPr>
      <w:spacing w:after="200" w:line="220" w:lineRule="atLeast"/>
      <w:ind w:firstLine="0"/>
      <w:jc w:val="center"/>
    </w:pPr>
  </w:style>
  <w:style w:type="paragraph" w:customStyle="1" w:styleId="23">
    <w:name w:val="bulletitem"/>
    <w:basedOn w:val="1"/>
    <w:uiPriority w:val="0"/>
    <w:pPr>
      <w:numPr>
        <w:ilvl w:val="0"/>
        <w:numId w:val="1"/>
      </w:numPr>
      <w:spacing w:before="160" w:after="160"/>
      <w:contextualSpacing/>
    </w:pPr>
  </w:style>
  <w:style w:type="paragraph" w:customStyle="1" w:styleId="24">
    <w:name w:val="dashitem"/>
    <w:basedOn w:val="1"/>
    <w:uiPriority w:val="0"/>
    <w:pPr>
      <w:numPr>
        <w:ilvl w:val="0"/>
        <w:numId w:val="2"/>
      </w:numPr>
      <w:spacing w:before="160" w:after="160"/>
      <w:contextualSpacing/>
    </w:pPr>
  </w:style>
  <w:style w:type="character" w:customStyle="1" w:styleId="25">
    <w:name w:val="e-mail"/>
    <w:basedOn w:val="7"/>
    <w:qFormat/>
    <w:uiPriority w:val="0"/>
    <w:rPr>
      <w:rFonts w:ascii="Courier" w:hAnsi="Courier"/>
    </w:rPr>
  </w:style>
  <w:style w:type="paragraph" w:customStyle="1" w:styleId="26">
    <w:name w:val="equation"/>
    <w:basedOn w:val="1"/>
    <w:next w:val="1"/>
    <w:uiPriority w:val="0"/>
    <w:pPr>
      <w:tabs>
        <w:tab w:val="center" w:pos="3289"/>
        <w:tab w:val="right" w:pos="6917"/>
      </w:tabs>
      <w:spacing w:before="160" w:after="160"/>
      <w:ind w:firstLine="0"/>
    </w:pPr>
  </w:style>
  <w:style w:type="paragraph" w:customStyle="1" w:styleId="27">
    <w:name w:val="figurecaption"/>
    <w:basedOn w:val="1"/>
    <w:next w:val="1"/>
    <w:uiPriority w:val="0"/>
    <w:pPr>
      <w:keepLines/>
      <w:spacing w:before="120" w:after="240" w:line="220" w:lineRule="atLeast"/>
      <w:ind w:firstLine="0"/>
      <w:jc w:val="center"/>
    </w:pPr>
    <w:rPr>
      <w:sz w:val="18"/>
    </w:rPr>
  </w:style>
  <w:style w:type="paragraph" w:customStyle="1" w:styleId="28">
    <w:name w:val="heading1"/>
    <w:basedOn w:val="1"/>
    <w:next w:val="3"/>
    <w:qFormat/>
    <w:uiPriority w:val="0"/>
    <w:pPr>
      <w:keepNext/>
      <w:keepLines/>
      <w:numPr>
        <w:ilvl w:val="0"/>
        <w:numId w:val="3"/>
      </w:numPr>
      <w:suppressAutoHyphens/>
      <w:spacing w:before="360" w:after="240" w:line="300" w:lineRule="atLeast"/>
      <w:jc w:val="left"/>
      <w:outlineLvl w:val="0"/>
    </w:pPr>
    <w:rPr>
      <w:b/>
      <w:sz w:val="24"/>
    </w:rPr>
  </w:style>
  <w:style w:type="paragraph" w:customStyle="1" w:styleId="29">
    <w:name w:val="heading2"/>
    <w:basedOn w:val="1"/>
    <w:next w:val="3"/>
    <w:qFormat/>
    <w:uiPriority w:val="0"/>
    <w:pPr>
      <w:keepNext/>
      <w:keepLines/>
      <w:numPr>
        <w:ilvl w:val="1"/>
        <w:numId w:val="3"/>
      </w:numPr>
      <w:suppressAutoHyphens/>
      <w:spacing w:before="360" w:after="160"/>
      <w:jc w:val="left"/>
      <w:outlineLvl w:val="1"/>
    </w:pPr>
    <w:rPr>
      <w:b/>
    </w:rPr>
  </w:style>
  <w:style w:type="character" w:customStyle="1" w:styleId="30">
    <w:name w:val="heading3"/>
    <w:basedOn w:val="7"/>
    <w:uiPriority w:val="0"/>
    <w:rPr>
      <w:b/>
    </w:rPr>
  </w:style>
  <w:style w:type="paragraph" w:customStyle="1" w:styleId="31">
    <w:name w:val="acknowlegments"/>
    <w:basedOn w:val="1"/>
    <w:qFormat/>
    <w:uiPriority w:val="0"/>
    <w:pPr>
      <w:spacing w:before="240" w:line="220" w:lineRule="atLeast"/>
      <w:ind w:firstLine="0"/>
    </w:pPr>
    <w:rPr>
      <w:sz w:val="18"/>
    </w:rPr>
  </w:style>
  <w:style w:type="character" w:customStyle="1" w:styleId="32">
    <w:name w:val="heading4"/>
    <w:basedOn w:val="7"/>
    <w:uiPriority w:val="0"/>
    <w:rPr>
      <w:i/>
    </w:rPr>
  </w:style>
  <w:style w:type="paragraph" w:customStyle="1" w:styleId="33">
    <w:name w:val="image"/>
    <w:basedOn w:val="1"/>
    <w:next w:val="1"/>
    <w:qFormat/>
    <w:uiPriority w:val="0"/>
    <w:pPr>
      <w:spacing w:before="240" w:after="120"/>
      <w:ind w:firstLine="0"/>
      <w:jc w:val="center"/>
    </w:pPr>
  </w:style>
  <w:style w:type="paragraph" w:customStyle="1" w:styleId="34">
    <w:name w:val="keywords"/>
    <w:basedOn w:val="20"/>
    <w:next w:val="28"/>
    <w:uiPriority w:val="0"/>
    <w:pPr>
      <w:spacing w:before="220"/>
      <w:ind w:firstLine="0"/>
      <w:contextualSpacing w:val="0"/>
      <w:jc w:val="left"/>
    </w:pPr>
  </w:style>
  <w:style w:type="paragraph" w:customStyle="1" w:styleId="35">
    <w:name w:val="numitem"/>
    <w:basedOn w:val="1"/>
    <w:qFormat/>
    <w:uiPriority w:val="0"/>
    <w:pPr>
      <w:numPr>
        <w:ilvl w:val="0"/>
        <w:numId w:val="4"/>
      </w:numPr>
      <w:spacing w:before="160" w:after="160"/>
      <w:contextualSpacing/>
    </w:pPr>
  </w:style>
  <w:style w:type="paragraph" w:customStyle="1" w:styleId="36">
    <w:name w:val="programcode"/>
    <w:basedOn w:val="1"/>
    <w:qFormat/>
    <w:uiPriority w:val="0"/>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37">
    <w:name w:val="referenceitem"/>
    <w:basedOn w:val="1"/>
    <w:qFormat/>
    <w:uiPriority w:val="0"/>
    <w:pPr>
      <w:numPr>
        <w:ilvl w:val="0"/>
        <w:numId w:val="5"/>
      </w:numPr>
      <w:spacing w:line="220" w:lineRule="atLeast"/>
    </w:pPr>
    <w:rPr>
      <w:sz w:val="18"/>
    </w:rPr>
  </w:style>
  <w:style w:type="paragraph" w:customStyle="1" w:styleId="38">
    <w:name w:val="runninghead left"/>
    <w:basedOn w:val="1"/>
    <w:uiPriority w:val="0"/>
    <w:pPr>
      <w:tabs>
        <w:tab w:val="left" w:pos="680"/>
      </w:tabs>
      <w:ind w:firstLine="0"/>
      <w:jc w:val="left"/>
    </w:pPr>
    <w:rPr>
      <w:sz w:val="18"/>
      <w:szCs w:val="18"/>
    </w:rPr>
  </w:style>
  <w:style w:type="paragraph" w:customStyle="1" w:styleId="39">
    <w:name w:val="runninghead right"/>
    <w:basedOn w:val="1"/>
    <w:qFormat/>
    <w:uiPriority w:val="0"/>
    <w:pPr>
      <w:tabs>
        <w:tab w:val="right" w:pos="6237"/>
        <w:tab w:val="right" w:pos="6917"/>
      </w:tabs>
      <w:ind w:firstLine="0"/>
      <w:jc w:val="left"/>
    </w:pPr>
    <w:rPr>
      <w:bCs/>
      <w:sz w:val="18"/>
      <w:szCs w:val="18"/>
    </w:rPr>
  </w:style>
  <w:style w:type="paragraph" w:customStyle="1" w:styleId="40">
    <w:name w:val="papertitle"/>
    <w:basedOn w:val="1"/>
    <w:next w:val="22"/>
    <w:uiPriority w:val="0"/>
    <w:pPr>
      <w:keepNext/>
      <w:keepLines/>
      <w:suppressAutoHyphens/>
      <w:spacing w:after="480" w:line="360" w:lineRule="atLeast"/>
      <w:ind w:firstLine="0"/>
      <w:jc w:val="center"/>
    </w:pPr>
    <w:rPr>
      <w:b/>
      <w:sz w:val="28"/>
    </w:rPr>
  </w:style>
  <w:style w:type="paragraph" w:customStyle="1" w:styleId="41">
    <w:name w:val="papersubtitle"/>
    <w:basedOn w:val="40"/>
    <w:next w:val="22"/>
    <w:uiPriority w:val="0"/>
    <w:pPr>
      <w:spacing w:before="120" w:line="280" w:lineRule="atLeast"/>
    </w:pPr>
    <w:rPr>
      <w:sz w:val="24"/>
    </w:rPr>
  </w:style>
  <w:style w:type="paragraph" w:customStyle="1" w:styleId="42">
    <w:name w:val="tablecaption"/>
    <w:basedOn w:val="1"/>
    <w:next w:val="1"/>
    <w:qFormat/>
    <w:uiPriority w:val="0"/>
    <w:pPr>
      <w:keepNext/>
      <w:keepLines/>
      <w:spacing w:before="240" w:after="120" w:line="220" w:lineRule="atLeast"/>
      <w:ind w:firstLine="0"/>
      <w:jc w:val="center"/>
    </w:pPr>
    <w:rPr>
      <w:sz w:val="18"/>
    </w:rPr>
  </w:style>
  <w:style w:type="character" w:customStyle="1" w:styleId="43">
    <w:name w:val="url"/>
    <w:basedOn w:val="7"/>
    <w:uiPriority w:val="0"/>
    <w:rPr>
      <w:rFonts w:ascii="Courier" w:hAnsi="Courier"/>
    </w:rPr>
  </w:style>
  <w:style w:type="character" w:customStyle="1" w:styleId="44">
    <w:name w:val="ORCID"/>
    <w:basedOn w:val="7"/>
    <w:uiPriority w:val="0"/>
    <w:rPr>
      <w:position w:val="0"/>
      <w:vertAlign w:val="superscript"/>
    </w:rPr>
  </w:style>
  <w:style w:type="paragraph" w:customStyle="1" w:styleId="45">
    <w:name w:val="ReferenceLine"/>
    <w:basedOn w:val="3"/>
    <w:semiHidden/>
    <w:unhideWhenUsed/>
    <w:qFormat/>
    <w:uiPriority w:val="0"/>
    <w:pPr>
      <w:spacing w:line="200" w:lineRule="exact"/>
    </w:pPr>
    <w:rPr>
      <w:sz w:val="16"/>
    </w:rPr>
  </w:style>
  <w:style w:type="paragraph" w:styleId="46">
    <w:name w:val="List Paragraph"/>
    <w:basedOn w:val="1"/>
    <w:semiHidden/>
    <w:uiPriority w:val="0"/>
    <w:pPr>
      <w:ind w:left="720"/>
      <w:contextualSpacing/>
    </w:pPr>
  </w:style>
  <w:style w:type="character" w:customStyle="1" w:styleId="47">
    <w:name w:val="Unresolved Mention"/>
    <w:basedOn w:val="7"/>
    <w:semiHidden/>
    <w:unhideWhenUsed/>
    <w:uiPriority w:val="99"/>
    <w:rPr>
      <w:color w:val="605E5C"/>
      <w:shd w:val="clear" w:color="auto" w:fill="E1DFDD"/>
    </w:rPr>
  </w:style>
  <w:style w:type="character" w:customStyle="1" w:styleId="48">
    <w:name w:val="Comment Text Char"/>
    <w:basedOn w:val="7"/>
    <w:link w:val="10"/>
    <w:semiHidden/>
    <w:uiPriority w:val="0"/>
  </w:style>
  <w:style w:type="character" w:customStyle="1" w:styleId="49">
    <w:name w:val="Comment Subject Char"/>
    <w:basedOn w:val="48"/>
    <w:link w:val="11"/>
    <w:semiHidden/>
    <w:qFormat/>
    <w:uiPriority w:val="0"/>
    <w:rPr>
      <w:b/>
      <w:bCs/>
    </w:rPr>
  </w:style>
</w:styles>
</file>

<file path=word/vbaData.xml><?xml version="1.0" encoding="utf-8"?>
<wne:vbaSuppData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mcds/>
</wne:vbaSuppData>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microsoft.com/office/2006/relationships/vbaProject" Target="vbaProject.bin"/><Relationship Id="rId1" Type="http://schemas.openxmlformats.org/officeDocument/2006/relationships/styles" Target="styles.xml"/></Relationships>
</file>

<file path=word/_rels/vbaProject.bin.rels><?xml version="1.0" encoding="UTF-8" standalone="yes"?>
<Relationships xmlns="http://schemas.openxmlformats.org/package/2006/relationships"><Relationship Id="rId1" Type="http://schemas.microsoft.com/office/2006/relationships/wordVbaData" Target="vbaData.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datastoreItem>
</file>

<file path=docProps/app.xml><?xml version="1.0" encoding="utf-8"?>
<Properties xmlns="http://schemas.openxmlformats.org/officeDocument/2006/extended-properties" xmlns:vt="http://schemas.openxmlformats.org/officeDocument/2006/docPropsVTypes">
  <Template>Normal.dotm</Template>
  <Company>dataspect IT-Services, Neckargemuend, Germany</Company>
  <Pages>10</Pages>
  <Words>8364</Words>
  <Characters>47681</Characters>
  <Lines>397</Lines>
  <Paragraphs>111</Paragraphs>
  <TotalTime>337</TotalTime>
  <ScaleCrop>false</ScaleCrop>
  <LinksUpToDate>false</LinksUpToDate>
  <CharactersWithSpaces>55934</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2023-10-25T07:01:00Z</dcterms:created>
  <dc:creator>Phúc Hà Hoàng</dc:creator>
  <dc:description>Styles and macros for Springer Lecture Notes</dc:description>
  <cp:lastModifiedBy>Phúc Hà Hoàng</cp:lastModifiedBy>
  <cp:lastPrinted>2026-02-01T07:42:00Z</cp:lastPrinted>
  <dcterms:modified xsi:type="dcterms:W3CDTF">2026-04-16T14:27:49Z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2057-12.2.0.19805</vt:lpwstr>
  </property>
  <property fmtid="{D5CDD505-2E9C-101B-9397-08002B2CF9AE}" pid="3" name="ICV">
    <vt:lpwstr>A3FFC6A7CE5D40FC8CE4086E0EA1A077_12</vt:lpwstr>
  </property>
</Properties>
</file>