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714500" cy="857250"/>
            <wp:effectExtent t="0" r="0" b="0" l="0"/>
            <wp:docPr id="1" name="logo" descr="Compan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  <w:jc w:val="center"/>
      </w:pPr>
      <w:r>
        <w:rPr>
          <w:b/>
          <w:bCs/>
          <w:color w:val="1F3B57"/>
          <w:sz w:val="36"/>
          <w:szCs w:val="36"/>
        </w:rPr>
        <w:t xml:space="preserve">QUARTERLY FINANCIAL &amp; OPERATIONS REPORT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Báo cáo Tài chính và Vận hành Quý 1 — Năm 2026</w:t>
      </w:r>
    </w:p>
    <w:p>
      <w:pPr>
        <w:pStyle w:val="Heading1"/>
      </w:pPr>
      <w:r>
        <w:t xml:space="preserve">1. Executive Summary / Tóm tắt điều hành</w:t>
      </w:r>
    </w:p>
    <w:p>
      <w:pPr>
        <w:spacing w:after="160"/>
      </w:pPr>
      <w:r>
        <w:t xml:space="preserve">In Q1 2026, Global Corp achieved revenue growth of 18% year-over-year, driven primarily by expansion in Southeast Asian markets and the launch of two new product lines. Operating margin improved to 22.4%, compared to 19.1% in the same period last year.</w:t>
      </w:r>
    </w:p>
    <w:p>
      <w:pPr>
        <w:spacing w:after="160"/>
      </w:pPr>
      <w:r>
        <w:t xml:space="preserve">Trong Quý 1 năm 2026, Global Corp đã đạt mức tăng trưởng doanh thu 18% so với cùng kỳ năm trước, chủ yếu nhờ vào việc mở rộng thị trường Đông Nam Á và ra mắt hai dòng sản phẩm mới. Biên lợi nhuận hoạt động đã cải thiện lên mức 22,4%, so với 19,1% của cùng kỳ năm ngoái.</w:t>
      </w:r>
    </w:p>
    <w:p>
      <w:pPr>
        <w:pStyle w:val="Heading1"/>
      </w:pPr>
      <w:r>
        <w:t xml:space="preserve">2. Key Financial Metrics / Chỉ số tài chính chính</w:t>
      </w:r>
    </w:p>
    <w:tbl>
      <w:tblPr>
        <w:tblW w:type="dxa" w:w="9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8"/>
        <w:gridCol w:w="3000"/>
        <w:gridCol w:w="3000"/>
      </w:tblGrid>
      <w:tr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Metric / Chỉ số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Q1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62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Q1 2026</w:t>
            </w:r>
          </w:p>
        </w:tc>
      </w:tr>
      <w:tr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Revenue / Doanh thu (USD)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$42.1M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$49.7M</w:t>
            </w:r>
          </w:p>
        </w:tc>
      </w:tr>
      <w:tr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Operating Margin / Biên LN hoạt động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19.1%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22.4%</w:t>
            </w:r>
          </w:p>
        </w:tc>
      </w:tr>
      <w:tr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Net Profit / Lợi nhuận thuần (USD)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$6.4M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$8.9M</w:t>
            </w:r>
          </w:p>
        </w:tc>
      </w:tr>
      <w:tr>
        <w:tc>
          <w:tcPr>
            <w:tcW w:type="dxa" w:w="3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Headcount / Nhân sự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1,240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1,380</w:t>
            </w:r>
          </w:p>
        </w:tc>
      </w:tr>
    </w:tbl>
    <w:p>
      <w:pPr>
        <w:spacing w:after="160" w:before="120"/>
      </w:pPr>
      <w:r>
        <w:t xml:space="preserve">All figures are reported in US Dollars unless otherwise noted</w:t>
      </w:r>
      <w:r>
        <w:rPr>
          <w:rStyle w:val="FootnoteReference"/>
        </w:rPr>
        <w:footnoteReference w:id="1"/>
      </w:r>
      <w:r>
        <w:t xml:space="preserve">. Converted figures use the reference exchange rate</w:t>
      </w:r>
      <w:r>
        <w:rPr>
          <w:rStyle w:val="FootnoteReference"/>
        </w:rPr>
        <w:footnoteReference w:id="2"/>
      </w:r>
      <w:r>
        <w:t xml:space="preserve">.</w:t>
      </w:r>
    </w:p>
    <w:p>
      <w:pPr>
        <w:pStyle w:val="Heading1"/>
      </w:pPr>
      <w:r>
        <w:t xml:space="preserve">3. Regional Performance / Hiệu suất theo khu vực</w:t>
      </w:r>
    </w:p>
    <w:p>
      <w:pPr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chart" descr="Revenue by region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1: Revenue by region, in millions USD / Hình 1: Doanh thu theo khu vực, triệu USD</w:t>
      </w:r>
    </w:p>
    <w:p>
      <w:pPr>
        <w:pStyle w:val="Heading2"/>
      </w:pPr>
      <w:r>
        <w:t xml:space="preserve">3.1 Highlights / Điểm nổi bật</w:t>
      </w:r>
    </w:p>
    <w:p>
      <w:pPr>
        <w:pStyle w:val="ListParagraph"/>
        <w:numPr>
          <w:ilvl w:val="0"/>
          <w:numId w:val="2"/>
        </w:numPr>
      </w:pPr>
      <w:r>
        <w:t xml:space="preserve">Southeast Asia revenue grew 34% YoY, the fastest-growing region.</w:t>
      </w:r>
    </w:p>
    <w:p>
      <w:pPr>
        <w:pStyle w:val="ListParagraph"/>
        <w:numPr>
          <w:ilvl w:val="0"/>
          <w:numId w:val="2"/>
        </w:numPr>
      </w:pPr>
      <w:r>
        <w:t xml:space="preserve">Doanh thu khu vực Đông Nam Á tăng 34% so với cùng kỳ, là khu vực tăng trưởng nhanh nhất.</w:t>
      </w:r>
    </w:p>
    <w:p>
      <w:pPr>
        <w:pStyle w:val="ListParagraph"/>
        <w:numPr>
          <w:ilvl w:val="0"/>
          <w:numId w:val="2"/>
        </w:numPr>
      </w:pPr>
      <w:r>
        <w:t xml:space="preserve">European operations remained flat due to currency headwinds.</w:t>
      </w:r>
    </w:p>
    <w:p>
      <w:pPr>
        <w:pStyle w:val="ListParagraph"/>
        <w:numPr>
          <w:ilvl w:val="0"/>
          <w:numId w:val="2"/>
        </w:numPr>
      </w:pPr>
      <w:r>
        <w:t xml:space="preserve">Hoạt động tại Châu Âu duy trì ổn định do ảnh hưởng từ biến động tỷ giá.</w:t>
      </w:r>
    </w:p>
    <w:p>
      <w:pPr>
        <w:pStyle w:val="Heading1"/>
      </w:pPr>
      <w:r>
        <w:t xml:space="preserve">4. Strategic Priorities / Ưu tiên chiến lược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Accelerate product localization</w:t>
      </w:r>
      <w:r>
        <w:t xml:space="preserve"> for emerging markets, including UI/UX translation and regional compliance.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Đẩy nhanh bản địa hóa sản phẩm</w:t>
      </w:r>
      <w:r>
        <w:t xml:space="preserve"> cho các thị trường mới nổi, bao gồm dịch giao diện và tuân thủ quy định khu vực.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 strategic partnerships</w:t>
      </w:r>
      <w:r>
        <w:t xml:space="preserve"> with regional distributors to reduce time-to-market.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Mở rộng quan hệ đối tác chiến lược</w:t>
      </w:r>
      <w:r>
        <w:t xml:space="preserve"> với các nhà phân phối khu vực để giảm thời gian ra mắt thị trường.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This document contains confidential and proprietary information. Distribution outside Global Corp is prohibited.</w:t>
      </w:r>
    </w:p>
    <w:p>
      <w:r>
        <w:rPr>
          <w:i/>
          <w:iCs/>
          <w:color w:val="888888"/>
          <w:sz w:val="18"/>
          <w:szCs w:val="18"/>
        </w:rPr>
        <w:t xml:space="preserve">Tài liệu này chứa thông tin bảo mật và độc quyền. Cấm phân phát ra ngoài Global Corp.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Q1 2026 Financial &amp; Operations Report</w:t>
    </w:r>
    <w:r>
      <w:rPr>
        <w:color w:val="888888"/>
        <w:sz w:val="16"/>
        <w:szCs w:val="16"/>
      </w:rPr>
      <w:t xml:space="preserve">	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Nguồn: Báo cáo tài chính nội bộ Quý 1/2026, đã được kiểm toán bởi bên thứ ba.</w:t>
      </w:r>
    </w:p>
  </w:footnote>
  <w:footnote w:id="2">
    <w:p>
      <w:r>
        <w:rPr>
          <w:rStyle w:val="FootnoteReference"/>
        </w:rPr>
        <w:footnoteRef/>
      </w:r>
      <w:r>
        <w:t xml:space="preserve">Tỷ giá quy đổi tham khảo: 1 USD = 25.400 VND, theo Ngân hàng Nhà nước Việt Nam, tháng 6/2026.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2962A8"/>
        <w:sz w:val="18"/>
        <w:szCs w:val="18"/>
      </w:rPr>
      <w:t xml:space="preserve">GLOBAL CORP // BÁO CÁO NỘI BỘ</w:t>
    </w:r>
    <w:r>
      <w:rPr>
        <w:i/>
        <w:iCs/>
        <w:color w:val="888888"/>
        <w:sz w:val="18"/>
        <w:szCs w:val="18"/>
      </w:rPr>
      <w:t xml:space="preserve">	CONFIDENTIAL — MẬT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62A8" w:sz="6" w:space="4"/>
      </w:pBdr>
      <w:spacing w:after="200" w:before="24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962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476f442be2686cb7a9c07f81d5b7ab6b670a5c.png"/><Relationship Id="rId10" Type="http://schemas.openxmlformats.org/officeDocument/2006/relationships/image" Target="media/a02a39feb38d19ce924cf7d5fee7a8ec1dff6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2026-06-18T05:57:00.327Z</dcterms:created>
  <dcterms:modified xsi:type="dcterms:W3CDTF">2026-06-18T05:57:00.327Z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