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20"/>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20"/>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20"/>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8"/>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1620" w:right="1620"/>
        <w:jc w:val="both"/>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In die konteks van digitale transformasie en die vinnige vooruitgang van</w:t>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kunsmatige intelligensie, het die vraag na teks-na-spraak (TTS)-stelsels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raak toenemend krities oor domeine soos virtuele assistente,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onderwys, outomatiese oproepsentrums, en toeganklikheid gereedskap vir die visueel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benadeel.  Genereer egter natuurlik, konteksbewus en prosodies</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2626" w:val="left"/>
          <w:tab w:pos="3300" w:val="left"/>
          <w:tab w:pos="4054" w:val="left"/>
          <w:tab w:pos="4318" w:val="left"/>
          <w:tab w:pos="5260" w:val="left"/>
          <w:tab w:pos="6180" w:val="left"/>
          <w:tab w:pos="7192" w:val="left"/>
        </w:tabs>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gepaste spraak bly 'n groot uitdaging, veral vir</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Viëtnamees—'n toontaal met komplekse toonhoogtekontoere en streeks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diversiteit. Hierdie navorsing stel voor en ontwikkel 'n Viëtnamese TTS-stelsel wat gebou is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op moderne diepleermodelle om die beperkings van tradisionele te oorkom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0" w:val="left"/>
          <w:tab w:pos="2890" w:val="left"/>
          <w:tab w:pos="3556" w:val="left"/>
          <w:tab w:pos="4402" w:val="left"/>
          <w:tab w:pos="5638" w:val="left"/>
          <w:tab w:pos="6724" w:val="left"/>
        </w:tabs>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metodes.  Die stelsel maak gebruik van die nuutste argitekture, insluitend</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Tacotron, FastSpeech en VITS, gekombineer met masjienleertegnieke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sintese kwaliteit te verbeter. Konstruksie en evaluering word uitgevoer op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diverse Viëtnamese datastel, wat aanpasbaarheid by verskeie werklike wêreld verseker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kontekste. Resultate toon dat die stelsel natuurlik, duidelik, hoogs bereik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buigsame spraakuitset met breë potensiaal vir ontplooiing in digitale platforms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en intelligente dienste.</w:t>
      </w:r>
    </w:p>
    <w:p>
      <w:pPr>
        <w:autoSpaceDN w:val="0"/>
        <w:autoSpaceDE w:val="0"/>
        <w:widowControl/>
        <w:spacing w:line="248" w:lineRule="exact" w:before="194" w:after="0"/>
        <w:ind w:left="1620" w:right="1620"/>
        <w:jc w:val="both"/>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w:t>
      </w:r>
    </w:p>
    <w:p>
      <w:pPr>
        <w:autoSpaceDN w:val="0"/>
        <w:autoSpaceDE w:val="0"/>
        <w:widowControl/>
        <w:spacing w:line="242" w:lineRule="exact" w:before="0" w:after="0"/>
        <w:ind w:left="1620" w:right="1620"/>
        <w:jc w:val="both"/>
      </w:pPr>
      <w:r>
        <w:rPr>
          <w:rFonts w:ascii="TimesNewRomanPSMT" w:hAnsi="TimesNewRomanPSMT" w:eastAsia="TimesNewRomanPSMT"/>
          <w:b w:val="0"/>
          <w:i w:val="0"/>
          <w:color w:val="000000"/>
          <w:sz w:val="18"/>
          <w:u w:val="none"/>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both"/>
      </w:pPr>
      <w:r>
        <w:rPr>
          <w:rFonts w:ascii="TimesNewRomanPSMT" w:hAnsi="TimesNewRomanPSMT" w:eastAsia="TimesNewRomanPSMT"/>
          <w:b w:val="0"/>
          <w:i w:val="0"/>
          <w:color w:val="000000"/>
          <w:sz w:val="20"/>
          <w:u w:val="none"/>
        </w:rPr>
        <w:t>Gedryf deur digitale transformasie en die vordering van kunsmatige intelligensie, die behoefte om</w:t>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bou teks-na-spraak (TTS)-stelsels word al hoe belangriker op gebiede soos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as virtuele assistente, onderwys, outomatiese oproepsentrums, en ondersteuning vir die visueel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benadeel. Die TTS-probleem strek egter verder as die omskakeling van teks in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oudio; dit vereis dat die gesintetiseerde stem natuurlik moet wees, gepaste intonasie dra,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en pas by die gegewe konteks - 'n besonder moeilike taak vir Viëtnamees, 'n taal met</w:t>
      </w:r>
    </w:p>
    <w:p>
      <w:pPr>
        <w:autoSpaceDN w:val="0"/>
        <w:autoSpaceDE w:val="0"/>
        <w:widowControl/>
        <w:spacing w:line="266" w:lineRule="exact" w:before="0" w:after="0"/>
        <w:ind w:left="1054" w:right="0" w:firstLine="0"/>
        <w:jc w:val="both"/>
      </w:pPr>
      <w:r>
        <w:rPr>
          <w:rFonts w:ascii="TimesNewRomanPSMT" w:hAnsi="TimesNewRomanPSMT" w:eastAsia="TimesNewRomanPSMT"/>
          <w:b w:val="0"/>
          <w:i w:val="0"/>
          <w:color w:val="000000"/>
          <w:sz w:val="20"/>
          <w:u w:val="none"/>
        </w:rPr>
        <w:t>'n komplekse toonstelsel en aansienlike streeksvariasie (Do, 2026).</w:t>
      </w:r>
    </w:p>
    <w:p>
      <w:pPr>
        <w:autoSpaceDN w:val="0"/>
        <w:autoSpaceDE w:val="0"/>
        <w:widowControl/>
        <w:spacing w:line="266" w:lineRule="exact" w:before="0" w:after="0"/>
        <w:ind w:left="1282" w:right="0" w:firstLine="0"/>
        <w:jc w:val="both"/>
      </w:pPr>
      <w:r>
        <w:rPr>
          <w:rFonts w:ascii="TimesNewRomanPSMT" w:hAnsi="TimesNewRomanPSMT" w:eastAsia="TimesNewRomanPSMT"/>
          <w:b w:val="0"/>
          <w:i w:val="0"/>
          <w:color w:val="000000"/>
          <w:sz w:val="20"/>
          <w:u w:val="none"/>
        </w:rPr>
        <w:t>Tradisionele konketenatiewe en formant-gebaseerde TTS-metodes (Zen et al., 2019)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Hidden Markov Model (HMM)-gebaseerde sintese (Zen et al., 2019) vertoon beperkings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in buigsaamheid, natuurlikheid en skaalbaarheid. In reaksie, moderne diep leer modelle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both"/>
      </w:pPr>
      <w:r>
        <w:rPr>
          <w:rFonts w:ascii="TimesNewRomanPSMT" w:hAnsi="TimesNewRomanPSMT" w:eastAsia="TimesNewRomanPSMT"/>
          <w:b w:val="0"/>
          <w:i w:val="0"/>
          <w:color w:val="000000"/>
          <w:sz w:val="20"/>
          <w:u w:val="none"/>
        </w:rPr>
        <w:t>soos Tacotron (Wang et al., 2017), Tacotron 2 (Shen et al., 2018), FastSpeech (Ren)</w:t>
      </w:r>
    </w:p>
    <w:p>
      <w:pPr>
        <w:sectPr>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both"/>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t>&amp;</w:t>
      </w:r>
      <w:r>
        <w:rPr>
          <w:rFonts w:ascii="TimesNewRomanPSMT" w:hAnsi="TimesNewRomanPSMT" w:eastAsia="TimesNewRomanPSMT"/>
          <w:b w:val="0"/>
          <w:i w:val="0"/>
          <w:color w:val="000000"/>
          <w:sz w:val="24"/>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 w:hAnsi="TimesNewRomanPS" w:eastAsia="TimesNewRomanPS"/>
          <w:b/>
          <w:i w:val="0"/>
          <w:color w:val="000000"/>
          <w:sz w:val="20"/>
          <w:u w:val="none"/>
        </w:rPr>
        <w:t>3 Stelselontwerp</w:t>
      </w:r>
      <w:r>
        <w:rPr>
          <w:rFonts w:ascii="TimesNewRomanPS" w:hAnsi="TimesNewRomanPS" w:eastAsia="TimesNewRomanPS"/>
          <w:b/>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4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0" w:lineRule="auto" w:before="312" w:after="0"/>
        <w:ind w:left="0" w:right="0" w:firstLine="0"/>
        <w:jc w:val="center"/>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50" w:lineRule="exact" w:before="252" w:after="150"/>
        <w:ind w:left="0" w:right="0" w:firstLine="0"/>
        <w:jc w:val="center"/>
      </w:pPr>
      <w:r>
        <w:rPr>
          <w:color w:val="000000"/>
          <w:sz w:val="18"/>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0" w:lineRule="exact" w:before="0" w:after="0"/>
        <w:ind w:left="0" w:right="0"/>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sz w:val="18"/>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6 F. Skrywer en S. Skrywer</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stuk, soos geformaliseer in die volgende algoritme</w:t>
      </w:r>
    </w:p>
    <w:p>
      <w:pPr>
        <w:autoSpaceDN w:val="0"/>
        <w:tabs>
          <w:tab w:pos="1620" w:val="left"/>
        </w:tabs>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2" w:after="0"/>
        <w:ind w:left="1054" w:right="1056" w:firstLine="0"/>
        <w:jc w:val="both"/>
      </w:pPr>
      <w:r>
        <w:rPr>
          <w:rFonts w:ascii="TimesNewRomanPS" w:hAnsi="TimesNewRomanPS" w:eastAsia="TimesNewRomanPS"/>
          <w:b/>
          <w:i w:val="0"/>
          <w:color w:val="000000"/>
          <w:sz w:val="20"/>
          <w:u w:val="none"/>
        </w:rPr>
        <w:t>4 Evalueringsmetrieke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TimesNewRomanPSMT" w:hAnsi="TimesNewRomanPSMT" w:eastAsia="TimesNewRomanPSMT"/>
          <w:b w:val="0"/>
          <w:i w:val="0"/>
          <w:color w:val="000000"/>
          <w:sz w:val="14"/>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d</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spacing w:line="144" w:lineRule="exact" w:before="0" w:after="0"/>
        <w:ind w:left="6192" w:right="2260" w:firstLine="0"/>
        <w:jc w:val="righ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tabs>
          <w:tab w:pos="4012" w:val="left"/>
          <w:tab w:pos="5824" w:val="left"/>
          <w:tab w:pos="6682" w:val="left"/>
        </w:tabs>
        <w:autoSpaceDE w:val="0"/>
        <w:widowControl/>
        <w:spacing w:line="240" w:lineRule="exact" w:before="310" w:after="0"/>
        <w:ind w:left="1054" w:right="1008" w:firstLine="0"/>
        <w:jc w:val="left"/>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p>
    <w:p>
      <w:pPr>
        <w:autoSpaceDN w:val="0"/>
        <w:tabs>
          <w:tab w:pos="1620" w:val="left"/>
        </w:tabs>
        <w:autoSpaceDE w:val="0"/>
        <w:widowControl/>
        <w:spacing w:line="332" w:lineRule="exact" w:before="306" w:after="0"/>
        <w:ind w:left="1054" w:right="0" w:firstLine="0"/>
        <w:jc w:val="left"/>
      </w:pPr>
      <w:r>
        <w:rPr>
          <w:rFonts w:ascii="TimesNewRomanPSMT" w:hAnsi="TimesNewRomanPSMT" w:eastAsia="TimesNewRomanPSMT"/>
          <w:b w:val="0"/>
          <w:i w:val="0"/>
          <w:color w:val="000000"/>
          <w:sz w:val="24"/>
          <w:u w:val="none"/>
        </w:rPr>
        <w:t>8 F. Skrywer en S. Skrywer</w:t>
      </w:r>
      <w:r>
        <w:rPr>
          <w:rFonts w:ascii="TimesNewRomanPSMT" w:hAnsi="TimesNewRomanPSMT" w:eastAsia="TimesNewRomanPSMT"/>
          <w:b w:val="0"/>
          <w:i w:val="0"/>
          <w:color w:val="000000"/>
          <w:sz w:val="24"/>
          <w:u w:val="none"/>
        </w:rPr>
      </w:r>
    </w:p>
    <w:p>
      <w:pPr>
        <w:autoSpaceDN w:val="0"/>
        <w:autoSpaceDE w:val="0"/>
        <w:widowControl/>
        <w:spacing w:line="240" w:lineRule="exact" w:before="236" w:after="0"/>
        <w:ind w:left="1054" w:right="1054" w:firstLine="0"/>
        <w:jc w:val="both"/>
      </w:pPr>
      <w:r>
        <w:rPr>
          <w:rFonts w:ascii="TimesNewRomanPS" w:hAnsi="TimesNewRomanPS" w:eastAsia="TimesNewRomanPS"/>
          <w:b/>
          <w:i w:val="0"/>
          <w:color w:val="000000"/>
          <w:sz w:val="20"/>
          <w:u w:val="none"/>
        </w:rPr>
        <w:t>5 Eksperimente en resultate</w:t>
      </w:r>
      <w:r>
        <w:rPr>
          <w:rFonts w:ascii="TimesNewRomanPS" w:hAnsi="TimesNewRomanPS" w:eastAsia="TimesNewRomanPS"/>
          <w:b/>
          <w:i w:val="0"/>
          <w:color w:val="000000"/>
          <w:sz w:val="20"/>
          <w:u w:val="none"/>
        </w:rPr>
      </w:r>
    </w:p>
    <w:p>
      <w:pPr>
        <w:autoSpaceDN w:val="0"/>
        <w:autoSpaceDE w:val="0"/>
        <w:widowControl/>
        <w:spacing w:line="240" w:lineRule="exact" w:before="28" w:after="0"/>
        <w:ind w:left="1054" w:right="1054" w:firstLine="228"/>
        <w:jc w:val="both"/>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both"/>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278" w:after="0"/>
        <w:ind w:left="1054" w:right="1054" w:firstLine="228"/>
        <w:jc w:val="both"/>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8" w:after="0"/>
        <w:ind w:left="1054" w:right="1052" w:firstLine="228"/>
        <w:jc w:val="both"/>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74" w:after="0"/>
        <w:ind w:left="1054" w:right="1054" w:firstLine="228"/>
        <w:jc w:val="both"/>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4" w:lineRule="exact" w:before="0" w:after="0"/>
        <w:ind w:left="0" w:right="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10 F. Skrywer en S. Skrywer</w:t>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p>
    <w:p>
      <w:pPr>
        <w:autoSpaceDN w:val="0"/>
        <w:tabs>
          <w:tab w:pos="1282" w:val="left"/>
          <w:tab w:pos="1642" w:val="left"/>
          <w:tab w:pos="2002" w:val="left"/>
        </w:tabs>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SymbolMT" w:hAnsi="SymbolMT" w:eastAsia="SymbolMT"/>
          <w:b w:val="0"/>
          <w:i w:val="0"/>
          <w:color w:val="000000"/>
          <w:sz w:val="24"/>
          <w:u w:val="none"/>
        </w:rPr>
        <w:t></w:t>
      </w:r>
      <w:r>
        <w:rPr>
          <w:color w:val="000000"/>
          <w:sz w:val="24"/>
          <w:u w:val="none"/>
        </w:rPr>
        <w:t xml:space="preserve"> </w:t>
      </w:r>
      <w:r>
        <w:rPr>
          <w:rFonts w:ascii="TimesNewRomanPSMT" w:hAnsi="TimesNewRomanPSMT" w:eastAsia="TimesNewRomanPSMT"/>
          <w:b w:val="0"/>
          <w:i w:val="0"/>
          <w:color w:val="000000"/>
          <w:sz w:val="24"/>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r>
        <w:rPr>
          <w:color w:val="000000"/>
          <w:sz w:val="24"/>
          <w:u w:val="none"/>
        </w:rPr>
      </w:r>
      <w:r>
        <w:rPr>
          <w:rFonts w:ascii="TimesNewRomanPSMT" w:hAnsi="TimesNewRomanPSMT" w:eastAsia="TimesNewRomanPSMT"/>
          <w:b w:val="0"/>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p>
    <w:p>
      <w:pPr>
        <w:autoSpaceDN w:val="0"/>
        <w:autoSpaceDE w:val="0"/>
        <w:widowControl/>
        <w:spacing w:line="332" w:lineRule="exact" w:before="336" w:after="0"/>
        <w:ind w:left="1054" w:right="0" w:firstLine="0"/>
        <w:jc w:val="left"/>
      </w:pPr>
      <w:r>
        <w:rPr>
          <w:rFonts w:ascii="TimesNewRomanPSMT" w:hAnsi="TimesNewRomanPSMT" w:eastAsia="TimesNewRomanPSMT"/>
          <w:b w:val="0"/>
          <w:i w:val="0"/>
          <w:color w:val="000000"/>
          <w:sz w:val="24"/>
          <w:u w:val="none"/>
        </w:rPr>
        <w:t>12 F. Skrywer en S. Skrywer</w:t>
      </w:r>
      <w:r>
        <w:rPr>
          <w:rFonts w:ascii="TimesNewRomanPSMT" w:hAnsi="TimesNewRomanPSMT" w:eastAsia="TimesNewRomanPSMT"/>
          <w:b w:val="0"/>
          <w:i w:val="0"/>
          <w:color w:val="000000"/>
          <w:sz w:val="24"/>
          <w:u w:val="none"/>
        </w:rPr>
      </w:r>
    </w:p>
    <w:p>
      <w:pPr>
        <w:autoSpaceDN w:val="0"/>
        <w:tabs>
          <w:tab w:pos="1394" w:val="left"/>
          <w:tab w:pos="2780" w:val="left"/>
          <w:tab w:pos="4164" w:val="left"/>
          <w:tab w:pos="4850" w:val="left"/>
          <w:tab w:pos="5976" w:val="left"/>
          <w:tab w:pos="7516"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rFonts w:ascii="TimesNewRomanPSMT" w:hAnsi="TimesNewRomanPSMT" w:eastAsia="TimesNewRomanPSMT"/>
          <w:b w:val="0"/>
          <w:i w:val="0"/>
          <w:color w:val="000000"/>
          <w:sz w:val="18"/>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rFonts w:ascii="TimesNewRomanPS" w:hAnsi="TimesNewRomanPS" w:eastAsia="TimesNewRomanPS"/>
          <w:b/>
          <w:i w:val="0"/>
          <w:color w:val="000000"/>
          <w:sz w:val="18"/>
          <w:u w:val="none"/>
        </w:rPr>
        <w:t>Verwysings</w:t>
      </w:r>
    </w:p>
    <w:p>
      <w:pPr>
        <w:autoSpaceDN w:val="0"/>
        <w:tabs>
          <w:tab w:pos="1144" w:val="left"/>
          <w:tab w:pos="1394" w:val="left"/>
          <w:tab w:pos="774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7790" w:val="left"/>
        </w:tabs>
        <w:autoSpaceDE w:val="0"/>
        <w:widowControl/>
        <w:spacing w:line="242" w:lineRule="exact" w:before="0" w:after="0"/>
        <w:ind w:left="4328" w:right="0" w:firstLine="0"/>
        <w:jc w:val="left"/>
      </w:pPr>
      <w:r>
        <w:rPr>
          <w:color w:val="000000"/>
          <w:sz w:val="18"/>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328" w:after="0"/>
        <w:ind w:left="1394" w:right="1008" w:hanging="338"/>
        <w:jc w:val="left"/>
      </w:pPr>
      <w:r>
        <w:rPr>
          <w:color w:val="000000"/>
          <w:sz w:val="18"/>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p>
    <w:p>
      <w:pPr>
        <w:autoSpaceDN w:val="0"/>
        <w:tabs>
          <w:tab w:pos="1394" w:val="left"/>
          <w:tab w:pos="2196" w:val="left"/>
          <w:tab w:pos="2980" w:val="left"/>
          <w:tab w:pos="4092" w:val="left"/>
          <w:tab w:pos="4606" w:val="left"/>
          <w:tab w:pos="5676" w:val="left"/>
          <w:tab w:pos="6348"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338"/>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sz w:val="18"/>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autoSpaceDN w:val="0"/>
        <w:autoSpaceDE w:val="0"/>
        <w:widowControl/>
        <w:spacing w:line="242" w:lineRule="exact" w:before="0" w:after="0"/>
        <w:ind w:left="0" w:right="0" w:firstLine="0"/>
        <w:jc w:val="center"/>
      </w:pPr>
    </w:p>
    <w:p>
      <w:pPr>
        <w:autoSpaceDN w:val="0"/>
        <w:autoSpaceDE w:val="0"/>
        <w:widowControl/>
        <w:spacing w:line="242" w:lineRule="exact" w:before="0" w:after="0"/>
        <w:ind w:left="1394" w:right="0" w:firstLine="0"/>
        <w:jc w:val="left"/>
      </w:pP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Seinverwerking (ICASSP) (pp. 4879–4883).  IEEE.</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Op pad na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beheer en oordrag in end-tot-end spraaksintese.  arXiv.</w:t>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