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1620" w:right="16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the context of digital transformation and the rapid advancement of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intelligence,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impaired.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However,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context‑aware,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prosodically</w:t>
      </w:r>
    </w:p>
    <w:p>
      <w:pPr>
        <w:autoSpaceDN w:val="0"/>
        <w:tabs>
          <w:tab w:pos="2626" w:val="left"/>
          <w:tab w:pos="3300" w:val="left"/>
          <w:tab w:pos="4054" w:val="left"/>
          <w:tab w:pos="4318" w:val="left"/>
          <w:tab w:pos="5260" w:val="left"/>
          <w:tab w:pos="6180" w:val="left"/>
          <w:tab w:pos="7192" w:val="left"/>
        </w:tabs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remains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significant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challenge,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particularly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Vietnamese—a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contours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regional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develops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built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</w:p>
    <w:p>
      <w:pPr>
        <w:autoSpaceDN w:val="0"/>
        <w:tabs>
          <w:tab w:pos="2440" w:val="left"/>
          <w:tab w:pos="2890" w:val="left"/>
          <w:tab w:pos="3556" w:val="left"/>
          <w:tab w:pos="4402" w:val="left"/>
          <w:tab w:pos="5638" w:val="left"/>
          <w:tab w:pos="6724" w:val="left"/>
        </w:tabs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leverages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state‑of‑the‑art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architectures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ensuring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highly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flexible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digital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1620" w:right="16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Text‑to‑Speech (TTS), Artificial Intelligence (AI), Deep Learning,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problem,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beyond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demands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intonation,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fit the given context—a particularly difficult task for Vietnamese, a language with</w:t>
      </w:r>
    </w:p>
    <w:p>
      <w:pPr>
        <w:autoSpaceDN w:val="0"/>
        <w:autoSpaceDE w:val="0"/>
        <w:widowControl/>
        <w:spacing w:line="266" w:lineRule="exact" w:before="0" w:after="0"/>
        <w:ind w:left="1054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complex tone system and substantial regional variation (Do, 2026).</w:t>
      </w:r>
    </w:p>
    <w:p>
      <w:pPr>
        <w:autoSpaceDN w:val="0"/>
        <w:autoSpaceDE w:val="0"/>
        <w:widowControl/>
        <w:spacing w:line="266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scalability.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as Tacotron (Wang et al., 2017), Tacotron 2 (Shen et al., 2018), FastSpeech (Ren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sz w:val="20"/>
        </w:rPr>
        <w:br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platforms, with strong trends in voice cloning (Jia et al., 2018) and multimodal AI.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Contribution Title (shortened if too long)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chatbots,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IVR,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applications (Ping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Kani‑TTS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excelling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powerful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StarGAN‑VC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(Kameoka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raising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concerns.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illustrating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rapid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extremely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branches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 synthesis to lightweight deployment and voice personalization.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depth, and realism directly determine TTS performance.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System Design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F. Author and S. Author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  <w:r>
        <w:rPr>
          <w:sz w:val="18"/>
        </w:rPr>
        <w:drawing>
          <wp:inline xmlns:a="http://schemas.openxmlformats.org/drawingml/2006/main" xmlns:pic="http://schemas.openxmlformats.org/drawingml/2006/picture">
            <wp:extent cx="4392930" cy="3294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" w:lineRule="exact" w:before="0" w:after="0"/>
        <w:ind w:left="0" w:right="0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2" w:val="left"/>
                <w:tab w:pos="564" w:val="left"/>
                <w:tab w:pos="590" w:val="left"/>
              </w:tabs>
              <w:autoSpaceDE w:val="0"/>
              <w:widowControl/>
              <w:spacing w:line="220" w:lineRule="exact" w:before="350" w:after="0"/>
              <w:ind w:left="164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sz w:val="18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F. Author and S. Author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tag‑driven, expressive speech synthesis using a unified voice identity.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Evaluation Metrics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 is quantified using the cosine similarity metric: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>d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i</w:t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A </w:t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B</w:t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σ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>
        <w:rPr>
          <w:sz w:val="14"/>
        </w:rPr>
        <w:br/>
      </w:r>
    </w:p>
    <w:p>
      <w:pPr>
        <w:autoSpaceDN w:val="0"/>
        <w:autoSpaceDE w:val="0"/>
        <w:widowControl/>
        <w:spacing w:line="144" w:lineRule="exact" w:before="0" w:after="0"/>
        <w:ind w:left="6192" w:right="2260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σ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i </w:t>
      </w:r>
      <w:r>
        <w:rPr>
          <w:sz w:val="20"/>
        </w:rPr>
        <w:br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F. Author and S. Author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Experiments and Results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atLeast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atLeast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atLeast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atLeast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F. Author and S. Author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Contribution Title (shortened if too long)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remain important factors in distinguishing the best-performing models.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optimization to improve speech naturalness, clarity, and background noise control.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>
        <w:rPr>
          <w:sz w:val="20"/>
        </w:rPr>
        <w:br/>
      </w:r>
      <w:r>
        <w:rPr>
          <w:sz w:val="20"/>
        </w:rP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sz w:val="2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English words and non Vietnamese segments. These require extra </w:t>
      </w:r>
      <w:r>
        <w:rPr>
          <w:sz w:val="2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grapheme to phoneme steps within the text normalization layer (Do, </w:t>
      </w:r>
      <w:r>
        <w:rPr>
          <w:sz w:val="2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2026), and may introduce attention errors that force the decoder to retry </w:t>
      </w:r>
      <w:r>
        <w:rPr>
          <w:sz w:val="2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F. Author and S. Author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performance across various conditions and contexts.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improving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regional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naturalness,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optimizing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 feasibility and usability.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References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massively-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autoSpaceDE w:val="0"/>
        <w:widowControl/>
        <w:spacing w:line="220" w:lineRule="exact" w:before="328" w:after="0"/>
        <w:ind w:left="1394" w:right="1008" w:hanging="338"/>
        <w:jc w:val="left"/>
      </w:pP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</w:p>
    <w:p>
      <w:pPr>
        <w:autoSpaceDN w:val="0"/>
        <w:tabs>
          <w:tab w:pos="1394" w:val="left"/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