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20"/>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20"/>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20"/>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8"/>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tabs>
          <w:tab w:pos="2450" w:val="left"/>
          <w:tab w:pos="3302" w:val="left"/>
          <w:tab w:pos="4208" w:val="left"/>
          <w:tab w:pos="4898" w:val="left"/>
          <w:tab w:pos="6108" w:val="left"/>
          <w:tab w:pos="6516" w:val="left"/>
        </w:tabs>
        <w:autoSpaceDE w:val="0"/>
        <w:widowControl/>
        <w:spacing w:line="242" w:lineRule="exact" w:before="522" w:after="0"/>
        <w:ind w:left="1620" w:right="1620"/>
        <w:jc w:val="both"/>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In die konteks van digitale transformasie en die vinnige vooruitgang van</w:t>
      </w:r>
      <w:r>
        <w:t xml:space="preserve"> </w:t>
      </w:r>
      <w:r>
        <w:rPr>
          <w:rFonts w:ascii="TimesNewRomanPSMT" w:hAnsi="TimesNewRomanPSMT"/>
          <w:b w:val="0"/>
          <w:i w:val="0"/>
          <w:sz w:val="18"/>
        </w:rPr>
        <w:t>kunsmatige intelligensie, het die vraag na teks-na-spraak (TTS)-stelsels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raak toenemend krities oor domeine soos virtuele assistente,</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onderwys, outomatiese oproepsentrums, en toeganklikheid gereedskap vir die visueel</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benadeel.  Genereer egter natuurlik, konteksbewus en prosodies</w:t>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gepaste spraak bly 'n groot uitdaging, veral vir</w:t>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Viëtnamees—'n toontaal met komplekse toonhoogtekontoere en streeks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diversiteit. Hierdie navorsing stel voor en ontwikkel 'n Viëtnamese TTS-stelsel wat gebou is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op moderne diepleermodelle om die beperkings van tradisionele te oorkom</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metodes.  Die stelsel maak gebruik van die nuutste argitekture, insluitend</w:t>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Tacotron, FastSpeech en VITS, gekombineer met masjienleertegnieke</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sintese kwaliteit te verbeter. Konstruksie en evaluering word uitgevoer op a</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diverse Viëtnamese datastel, wat aanpasbaarheid by verskeie werklike wêreld verseker</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kontekste. Resultate toon dat die stelsel natuurlik, duidelik, hoogs bereik</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buigsame spraakuitset met breë potensiaal vir ontplooiing in digitale platforms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en intelligente dienste.</w:t>
      </w:r>
    </w:p>
    <w:p>
      <w:pPr>
        <w:autoSpaceDN w:val="0"/>
        <w:tabs>
          <w:tab w:pos="2450" w:val="left"/>
          <w:tab w:pos="3302" w:val="left"/>
          <w:tab w:pos="4208" w:val="left"/>
          <w:tab w:pos="4898" w:val="left"/>
          <w:tab w:pos="6108" w:val="left"/>
          <w:tab w:pos="6516" w:val="left"/>
        </w:tabs>
        <w:autoSpaceDE w:val="0"/>
        <w:widowControl/>
        <w:spacing w:line="242" w:lineRule="exact" w:before="194" w:after="0"/>
        <w:ind w:left="1620" w:right="1620"/>
        <w:jc w:val="both"/>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w:t>
      </w:r>
      <w:r>
        <w:t xml:space="preserve"> </w:t>
      </w:r>
      <w:r>
        <w:rPr>
          <w:rFonts w:ascii="TimesNewRomanPSMT" w:hAnsi="TimesNewRomanPSMT"/>
          <w:b w:val="0"/>
          <w:i w:val="0"/>
          <w:sz w:val="18"/>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Gedryf deur digitale transformasie en die vordering van kunsmatige intelligensie, die behoefte om</w:t>
      </w:r>
      <w:r>
        <w:t xml:space="preserve"> </w:t>
      </w:r>
      <w:r>
        <w:rPr>
          <w:rFonts w:ascii="TimesNewRomanPSMT" w:hAnsi="TimesNewRomanPSMT"/>
          <w:b w:val="0"/>
          <w:i w:val="0"/>
          <w:sz w:val="20"/>
        </w:rPr>
        <w:t>bou teks-na-spraak (TTS)-stelsels word al hoe belangriker op gebiede soos</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as virtuele assistente, onderwys, outomatiese oproepsentrums, en ondersteuning vir die visueel</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benadeel. Die TTS-probleem strek egter verder as die omskakeling van teks in</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oudio; dit vereis dat die gesintetiseerde stem natuurlik moet wees, gepaste intonasie dra,</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en pas by die gegewe konteks - 'n besonder moeilike taak vir Viëtnamees, 'n taal met</w:t>
      </w:r>
      <w:r>
        <w:t xml:space="preserve"> </w:t>
      </w:r>
      <w:r>
        <w:rPr>
          <w:rFonts w:ascii="TimesNewRomanPSMT" w:hAnsi="TimesNewRomanPSMT"/>
          <w:b w:val="0"/>
          <w:i w:val="0"/>
          <w:sz w:val="20"/>
        </w:rPr>
        <w:t>'n komplekse toonstelsel en aansienlike streeksvariasie (Do, 2026).</w:t>
      </w:r>
      <w:r>
        <w:t xml:space="preserve"> </w:t>
      </w:r>
      <w:r>
        <w:rPr>
          <w:rFonts w:ascii="TimesNewRomanPSMT" w:hAnsi="TimesNewRomanPSMT"/>
          <w:b w:val="0"/>
          <w:i w:val="0"/>
          <w:sz w:val="20"/>
        </w:rPr>
        <w:t>Tradisionele konketenatiewe en formant-gebaseerde TTS-metodes (Zen et al., 2019) en</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Hidden Markov Model (HMM)-gebaseerde sintese (Zen et al., 2019) vertoon beperkings</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in buigsaamheid, natuurlikheid en skaalbaarheid. In reaksie, moderne diep leer modelle</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soos Tacotron (Wang et al., 2017), Tacotron 2 (Shen et al., 2018), FastSpeech (Ren)</w:t>
      </w:r>
    </w:p>
    <w:p>
      <w:pPr>
        <w:autoSpaceDN w:val="0"/>
        <w:autoSpaceDE w:val="0"/>
        <w:widowControl/>
        <w:spacing w:line="240" w:lineRule="exact" w:before="28" w:after="0"/>
        <w:ind w:left="1054" w:right="1054" w:firstLine="0"/>
        <w:jc w:val="both"/>
      </w:pPr>
    </w:p>
    <w:p>
      <w:pPr>
        <w:autoSpaceDN w:val="0"/>
        <w:autoSpaceDE w:val="0"/>
        <w:widowControl/>
        <w:spacing w:line="240" w:lineRule="exact" w:before="28" w:after="0"/>
        <w:ind w:left="1054" w:right="1054" w:firstLine="0"/>
        <w:jc w:val="both"/>
      </w:pP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2 F. Skrywer en S. Skrywer</w:t>
      </w:r>
      <w:r>
        <w:rPr>
          <w:rFonts w:ascii="TimesNewRomanPSMT" w:hAnsi="TimesNewRomanPSMT" w:eastAsia="TimesNewRomanPSMT"/>
          <w:b w:val="0"/>
          <w:i w:val="0"/>
          <w:color w:val="000000"/>
          <w:sz w:val="24"/>
          <w:u w:val="none"/>
        </w:rPr>
      </w:r>
    </w:p>
    <w:p>
      <w:pPr>
        <w:autoSpaceDN w:val="0"/>
        <w:autoSpaceDE w:val="0"/>
        <w:widowControl/>
        <w:spacing w:line="240" w:lineRule="exact" w:before="28" w:after="0"/>
        <w:ind w:left="1054" w:right="1054" w:firstLine="0"/>
        <w:jc w:val="both"/>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r>
        <w:t xml:space="preserve"> </w:t>
      </w:r>
      <w:r>
        <w:rPr>
          <w:rFonts w:ascii="TimesNewRomanPSMT" w:hAnsi="TimesNewRomanPSMT"/>
          <w:b w:val="0"/>
          <w:i w:val="0"/>
          <w:sz w:val="20"/>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 w:hAnsi="TimesNewRomanPS" w:eastAsia="TimesNewRomanPS"/>
          <w:b/>
          <w:i w:val="0"/>
          <w:color w:val="000000"/>
          <w:sz w:val="20"/>
          <w:u w:val="none"/>
        </w:rPr>
        <w:t>3 Stelselontwerp</w:t>
      </w:r>
      <w:r>
        <w:rPr>
          <w:rFonts w:ascii="TimesNewRomanPS" w:hAnsi="TimesNewRomanPS" w:eastAsia="TimesNewRomanPS"/>
          <w:b/>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4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auto" w:before="312" w:after="0"/>
        <w:ind w:left="0" w:right="0" w:firstLine="0"/>
        <w:jc w:val="center"/>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50" w:lineRule="exact" w:before="252" w:after="150"/>
        <w:ind w:left="0" w:right="0" w:firstLine="0"/>
        <w:jc w:val="center"/>
      </w:pPr>
      <w:r>
        <w:rPr>
          <w:color w:val="000000"/>
          <w:sz w:val="18"/>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0" w:lineRule="exact" w:before="0" w:after="0"/>
        <w:ind w:left="0" w:right="0"/>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6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stuk, soos geformaliseer in die volgende algoritme</w:t>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2" w:after="0"/>
        <w:ind w:left="1054" w:right="1056" w:firstLine="0"/>
        <w:jc w:val="both"/>
      </w:pPr>
      <w:r>
        <w:rPr>
          <w:rFonts w:ascii="TimesNewRomanPS" w:hAnsi="TimesNewRomanPS" w:eastAsia="TimesNewRomanPS"/>
          <w:b/>
          <w:i w:val="0"/>
          <w:color w:val="000000"/>
          <w:sz w:val="20"/>
          <w:u w:val="none"/>
        </w:rPr>
        <w:t>4 Evalueringsmetrieke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d</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spacing w:line="144" w:lineRule="exact" w:before="0" w:after="0"/>
        <w:ind w:left="6192" w:right="2260" w:firstLine="0"/>
        <w:jc w:val="righ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tabs>
          <w:tab w:pos="4012" w:val="left"/>
          <w:tab w:pos="5824" w:val="left"/>
          <w:tab w:pos="6682" w:val="left"/>
        </w:tabs>
        <w:autoSpaceDE w:val="0"/>
        <w:widowControl/>
        <w:spacing w:line="240" w:lineRule="exact" w:before="310" w:after="0"/>
        <w:ind w:left="1054" w:right="1008" w:firstLine="0"/>
        <w:jc w:val="left"/>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p>
    <w:p>
      <w:pPr>
        <w:autoSpaceDN w:val="0"/>
        <w:tabs>
          <w:tab w:pos="1620" w:val="left"/>
        </w:tabs>
        <w:autoSpaceDE w:val="0"/>
        <w:widowControl/>
        <w:spacing w:line="332" w:lineRule="exact" w:before="306" w:after="0"/>
        <w:ind w:left="1054" w:right="0" w:firstLine="0"/>
        <w:jc w:val="left"/>
      </w:pPr>
      <w:r>
        <w:rPr>
          <w:rFonts w:ascii="TimesNewRomanPSMT" w:hAnsi="TimesNewRomanPSMT" w:eastAsia="TimesNewRomanPSMT"/>
          <w:b w:val="0"/>
          <w:i w:val="0"/>
          <w:color w:val="000000"/>
          <w:sz w:val="24"/>
          <w:u w:val="none"/>
        </w:rPr>
        <w:t>8 F. Skrywer en S. Skrywer</w:t>
      </w:r>
      <w:r>
        <w:rPr>
          <w:rFonts w:ascii="TimesNewRomanPSMT" w:hAnsi="TimesNewRomanPSMT" w:eastAsia="TimesNewRomanPSMT"/>
          <w:b w:val="0"/>
          <w:i w:val="0"/>
          <w:color w:val="000000"/>
          <w:sz w:val="24"/>
          <w:u w:val="none"/>
        </w:rPr>
      </w:r>
    </w:p>
    <w:p>
      <w:pPr>
        <w:autoSpaceDN w:val="0"/>
        <w:autoSpaceDE w:val="0"/>
        <w:widowControl/>
        <w:spacing w:line="240" w:lineRule="exact" w:before="236" w:after="0"/>
        <w:ind w:left="1054" w:right="1054" w:firstLine="0"/>
        <w:jc w:val="both"/>
      </w:pPr>
      <w:r>
        <w:rPr>
          <w:rFonts w:ascii="TimesNewRomanPS" w:hAnsi="TimesNewRomanPS" w:eastAsia="TimesNewRomanPS"/>
          <w:b/>
          <w:i w:val="0"/>
          <w:color w:val="000000"/>
          <w:sz w:val="20"/>
          <w:u w:val="none"/>
        </w:rPr>
        <w:t>5 Eksperimente en resultate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4" w:firstLine="228"/>
        <w:jc w:val="both"/>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both"/>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278" w:after="0"/>
        <w:ind w:left="1054" w:right="1054" w:firstLine="228"/>
        <w:jc w:val="both"/>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8" w:after="0"/>
        <w:ind w:left="1054" w:right="1052" w:firstLine="228"/>
        <w:jc w:val="both"/>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74" w:after="0"/>
        <w:ind w:left="1054" w:right="1054" w:firstLine="228"/>
        <w:jc w:val="both"/>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10 F. Skrywer en S. Skrywer</w:t>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tabs>
          <w:tab w:pos="1282" w:val="left"/>
          <w:tab w:pos="1642" w:val="left"/>
          <w:tab w:pos="2002" w:val="left"/>
        </w:tabs>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SymbolMT" w:hAnsi="SymbolMT" w:eastAsia="SymbolMT"/>
          <w:b w:val="0"/>
          <w:i w:val="0"/>
          <w:color w:val="000000"/>
          <w:sz w:val="24"/>
          <w:u w:val="none"/>
        </w:rPr>
        <w:t></w:t>
      </w:r>
      <w:r>
        <w:rPr>
          <w:color w:val="000000"/>
          <w:sz w:val="24"/>
          <w:u w:val="none"/>
        </w:rPr>
        <w:t xml:space="preserve"> </w:t>
      </w:r>
      <w:r>
        <w:rPr>
          <w:rFonts w:ascii="TimesNewRomanPSMT" w:hAnsi="TimesNewRomanPSMT" w:eastAsia="TimesNewRomanPSMT"/>
          <w:b w:val="0"/>
          <w:i w:val="0"/>
          <w:color w:val="000000"/>
          <w:sz w:val="2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p>
    <w:p>
      <w:pPr>
        <w:autoSpaceDN w:val="0"/>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12 F. Skrywer en S. Skrywer</w:t>
      </w:r>
      <w:r>
        <w:rPr>
          <w:rFonts w:ascii="TimesNewRomanPSMT" w:hAnsi="TimesNewRomanPSMT" w:eastAsia="TimesNewRomanPSMT"/>
          <w:b w:val="0"/>
          <w:i w:val="0"/>
          <w:color w:val="000000"/>
          <w:sz w:val="24"/>
          <w:u w:val="none"/>
        </w:rPr>
      </w:r>
    </w:p>
    <w:p>
      <w:pPr>
        <w:autoSpaceDN w:val="0"/>
        <w:tabs>
          <w:tab w:pos="1394" w:val="left"/>
          <w:tab w:pos="2780" w:val="left"/>
          <w:tab w:pos="4164" w:val="left"/>
          <w:tab w:pos="4850" w:val="left"/>
          <w:tab w:pos="5976" w:val="left"/>
          <w:tab w:pos="7516"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8"/>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rFonts w:ascii="TimesNewRomanPS" w:hAnsi="TimesNewRomanPS" w:eastAsia="TimesNewRomanPS"/>
          <w:b/>
          <w:i w:val="0"/>
          <w:color w:val="000000"/>
          <w:sz w:val="18"/>
          <w:u w:val="none"/>
        </w:rPr>
        <w:t>Verwysings</w:t>
      </w:r>
    </w:p>
    <w:p>
      <w:pPr>
        <w:autoSpaceDN w:val="0"/>
        <w:tabs>
          <w:tab w:pos="1144" w:val="left"/>
          <w:tab w:pos="1394" w:val="left"/>
          <w:tab w:pos="774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7790" w:val="left"/>
        </w:tabs>
        <w:autoSpaceDE w:val="0"/>
        <w:widowControl/>
        <w:spacing w:line="242" w:lineRule="exact" w:before="0" w:after="0"/>
        <w:ind w:left="4328" w:right="0"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328" w:after="0"/>
        <w:ind w:left="1394" w:right="1008" w:hanging="338"/>
        <w:jc w:val="left"/>
      </w:pPr>
      <w:r>
        <w:rPr>
          <w:color w:val="000000"/>
          <w:sz w:val="18"/>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p>
    <w:p>
      <w:pPr>
        <w:autoSpaceDN w:val="0"/>
        <w:tabs>
          <w:tab w:pos="1394" w:val="left"/>
          <w:tab w:pos="2196" w:val="left"/>
          <w:tab w:pos="2980" w:val="left"/>
          <w:tab w:pos="4092" w:val="left"/>
          <w:tab w:pos="4606" w:val="left"/>
          <w:tab w:pos="5676" w:val="left"/>
          <w:tab w:pos="6348"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sz w:val="18"/>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1394" w:right="0" w:firstLine="0"/>
        <w:jc w:val="left"/>
      </w:pP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Seinverwerking (ICASSP) (pp. 4879–4883).  IEEE.</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Op pad na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beheer en oordrag in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