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Outomatiese teks-na-spraak-stelsel vir Viëtnamees gebruik</w:t>
      </w: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Kunsmatige Intelligensie</w:t>
      </w:r>
    </w:p>
    <w:p>
      <w:pPr>
        <w:autoSpaceDN w:val="0"/>
        <w:autoSpaceDE w:val="0"/>
        <w:widowControl/>
        <w:jc w:val="center"/>
        <w:ind w:left="0" w:right="0" w:firstLine="0"/>
        <w:spacing w:line="268" w:lineRule="exact" w:before="430" w:after="0"/>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13"/>
          <w:u w:val="none"/>
        </w:rPr>
        <w:t>1*</w:t>
      </w:r>
    </w:p>
    <w:p>
      <w:pPr>
        <w:autoSpaceDN w:val="0"/>
        <w:autoSpaceDE w:val="0"/>
        <w:widowControl/>
        <w:jc w:val="center"/>
        <w:ind w:left="0" w:right="0" w:firstLine="0"/>
        <w:spacing w:line="302" w:lineRule="exact" w:before="114" w:after="0"/>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jc w:val="center"/>
        <w:ind w:left="0" w:right="0" w:firstLine="0"/>
        <w:spacing w:line="304" w:lineRule="exact" w:before="0" w:after="0"/>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jc w:val="center"/>
        <w:ind w:left="0" w:right="0" w:firstLine="0"/>
        <w:spacing w:line="306" w:lineRule="exact" w:before="0" w:after="0"/>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jc w:val="both"/>
        <w:ind w:left="1620" w:right="1620" w:firstLine="0"/>
        <w:spacing w:after="0" w:line="276" w:lineRule="auto"/>
      </w:pPr>
      <w:r>
        <w:rPr>
          <w:rFonts w:ascii="TimesNewRomanPS" w:hAnsi="TimesNewRomanPS" w:eastAsia="TimesNewRomanPS"/>
          <w:b/>
          <w:i w:val="0"/>
          <w:color w:val="000000"/>
          <w:sz w:val="20"/>
          <w:u w:val="none"/>
        </w:rPr>
        <w:t xml:space="preserve">Abstrak.  </w:t>
      </w:r>
      <w:r>
        <w:rPr>
          <w:rFonts w:ascii="TimesNewRomanPSMT" w:hAnsi="TimesNewRomanPSMT" w:eastAsia="TimesNewRomanPSMT"/>
          <w:b w:val="0"/>
          <w:i w:val="0"/>
          <w:color w:val="000000"/>
          <w:sz w:val="20"/>
          <w:u w:val="none"/>
        </w:rPr>
        <w:t xml:space="preserve">In die konteks van digitale transformasie en die vinnige vooruitgang van </w:t>
      </w:r>
      <w:r>
        <w:rPr>
          <w:rFonts w:ascii="TimesNewRomanPSMT" w:hAnsi="TimesNewRomanPSMT"/>
          <w:b w:val="0"/>
          <w:i w:val="0"/>
          <w:sz w:val="20"/>
          <w:u w:val="none"/>
        </w:rPr>
        <w:t>kunsmatige intelligensie, het die vraag na teks-na-spraak (TTS)-stelsels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raak toenemend krities oor domeine soos virtuele assistente,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onderwys, outomatiese oproepsentrums, en toeganklikheid gereedskap vir die visueel</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benadeel.  Genereer egter natuurlik, konteksbewus en prosodies</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gepaste spraak bly 'n groot uitdaging, veral vir</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Viëtnamees—'n toontaal met komplekse toonhoogtekontoere en streeks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diversiteit. Hierdie navorsing stel voor en ontwikkel 'n Viëtnamese TTS-stelsel wat gebou is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op moderne diepleermodelle om die beperkings van tradisionele te oorkom</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metodes.  Die stelsel maak gebruik van die nuutste argitekture, insluitend</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Tacotron, FastSpeech en VITS, gekombineer met masjienleertegnieke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sintese kwaliteit te verbeter. Konstruksie en evaluering word uitgevoer op a</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diverse Viëtnamese datastel, wat aanpasbaarheid by verskeie werklike wêreld verseker</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kontekste. Resultate toon dat die stelsel natuurlik, duidelik, hoogs bereik</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buigsame spraakuitset met breë potensiaal vir ontplooiing in digitale platforms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en intelligente dienste.</w:t>
      </w:r>
    </w:p>
    <w:p>
      <w:pPr>
        <w:autoSpaceDN w:val="0"/>
        <w:autoSpaceDE w:val="0"/>
        <w:widowControl/>
        <w:jc w:val="both"/>
        <w:ind w:left="1620" w:right="1620" w:firstLine="0"/>
        <w:spacing w:after="0" w:line="276" w:lineRule="auto"/>
      </w:pPr>
      <w:r>
        <w:rPr>
          <w:rFonts w:ascii="TimesNewRomanPS" w:hAnsi="TimesNewRomanPS" w:eastAsia="TimesNewRomanPS"/>
          <w:b/>
          <w:i w:val="0"/>
          <w:color w:val="000000"/>
          <w:sz w:val="20"/>
          <w:u w:val="none"/>
        </w:rPr>
        <w:t xml:space="preserve">Sleutelwoorde: </w:t>
      </w:r>
      <w:r>
        <w:rPr>
          <w:rFonts w:ascii="TimesNewRomanPSMT" w:hAnsi="TimesNewRomanPSMT" w:eastAsia="TimesNewRomanPSMT"/>
          <w:b w:val="0"/>
          <w:i w:val="0"/>
          <w:color w:val="000000"/>
          <w:sz w:val="20"/>
          <w:u w:val="none"/>
        </w:rPr>
        <w:t xml:space="preserve">Teks-na-spraak (TTS), Kunsmatige Intelligensie (KI), Deep Learning, </w:t>
      </w:r>
      <w:r>
        <w:rPr>
          <w:rFonts w:ascii="TimesNewRomanPSMT" w:hAnsi="TimesNewRomanPSMT"/>
          <w:b w:val="0"/>
          <w:i w:val="0"/>
          <w:sz w:val="20"/>
          <w:u w:val="none"/>
        </w:rPr>
        <w:t>Natuurlike Taalverwerking (NLP), Spraaksintese.</w:t>
      </w:r>
    </w:p>
    <w:p>
      <w:pPr>
        <w:autoSpaceDN w:val="0"/>
        <w:tabs>
          <w:tab w:pos="1620" w:val="left"/>
        </w:tabs>
        <w:autoSpaceDE w:val="0"/>
        <w:widowControl/>
        <w:jc w:val="left"/>
        <w:ind w:left="1054" w:right="1054"/>
        <w:spacing w:before="120" w:after="0" w:line="276" w:lineRule="auto"/>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Gedryf deur digitale transformasie en die vordering van kunsmatige intelligensie, die behoefte om </w:t>
      </w:r>
      <w:r>
        <w:rPr>
          <w:rFonts w:ascii="TimesNewRomanPSMT" w:hAnsi="TimesNewRomanPSMT"/>
          <w:b w:val="0"/>
          <w:i w:val="0"/>
          <w:sz w:val="20"/>
          <w:u w:val="none"/>
        </w:rPr>
        <w:t>bou teks-na-spraak (TTS)-stelsels word al hoe belangriker op gebiede soos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as virtuele assistente, onderwys, outomatiese oproepsentrums, en ondersteuning vir die visueel</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benadeel. Die TTS-probleem strek egter verder as die omskakeling van teks in</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oudio; dit vereis dat die gesintetiseerde stem natuurlik moet wees, gepaste intonasie dra,</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 xml:space="preserve">en pas by die gegewe konteks - 'n besonder moeilike taak vir Viëtnamees, 'n taal met </w:t>
      </w:r>
      <w:r>
        <w:rPr>
          <w:rFonts w:ascii="TimesNewRomanPSMT" w:hAnsi="TimesNewRomanPSMT"/>
          <w:b w:val="0"/>
          <w:i w:val="0"/>
          <w:sz w:val="20"/>
          <w:u w:val="none"/>
        </w:rPr>
        <w:t xml:space="preserve">'n komplekse toonstelsel en aansienlike streeksvariasie (Do, 2026). </w:t>
      </w:r>
      <w:r>
        <w:rPr>
          <w:rFonts w:ascii="TimesNewRomanPSMT" w:hAnsi="TimesNewRomanPSMT"/>
          <w:b w:val="0"/>
          <w:i w:val="0"/>
          <w:sz w:val="20"/>
          <w:u w:val="none"/>
        </w:rPr>
        <w:t>Tradisionele konketenatiewe en formant-gebaseerde TTS-metodes (Zen et al., 2019) en</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Hidden Markov Model (HMM)-gebaseerde sintese (Zen et al., 2019) vertoon beperkings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in buigsaamheid, natuurlikheid en skaalbaarheid. In reaksie, moderne diep leer modelle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soos Tacotron (Wang et al., 2017), Tacotron 2 (Shen et al., 2018), FastSpeech (Ren)</w:t>
      </w:r>
    </w:p>
    <w:p>
      <w:pPr>
        <w:autoSpaceDN w:val="0"/>
        <w:tabs>
          <w:tab w:pos="1644" w:val="left"/>
        </w:tabs>
        <w:autoSpaceDE w:val="0"/>
        <w:widowControl/>
        <w:jc w:val="left"/>
        <w:ind w:left="1054" w:right="0" w:firstLine="0"/>
        <w:spacing w:after="0" w:line="276" w:lineRule="auto"/>
      </w:pPr>
      <w:r>
        <w:rPr>
          <w:rFonts w:ascii="TimesNewRomanPSMT" w:hAnsi="TimesNewRomanPSMT" w:eastAsia="TimesNewRomanPSMT"/>
          <w:b w:val="0"/>
          <w:i w:val="0"/>
          <w:color w:val="000000"/>
          <w:sz w:val="18"/>
          <w:u w:val="none"/>
        </w:rPr>
        <w:t>2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jc w:val="left"/>
        <w:ind w:left="1054" w:right="1054"/>
        <w:spacing w:before="120" w:after="0" w:line="276" w:lineRule="auto"/>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0"/>
        <w:spacing w:after="0" w:line="276" w:lineRule="auto"/>
      </w:pPr>
      <w:r>
        <w:rPr>
          <w:rFonts w:ascii="TimesNewRomanPSMT" w:hAnsi="TimesNewRomanPSMT" w:eastAsia="TimesNewRomanPSMT"/>
          <w:b w:val="0"/>
          <w:i w:val="0"/>
          <w:color w:val="000000"/>
          <w:sz w:val="20"/>
          <w:u w:val="none"/>
        </w:rPr>
        <w:t>Bydrae Titel (verkort indien te lank) 3</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jc w:val="left"/>
        <w:ind w:left="1054" w:right="1054"/>
        <w:spacing w:before="120" w:after="0" w:line="276" w:lineRule="auto"/>
      </w:pPr>
      <w:r>
        <w:rPr>
          <w:rFonts w:ascii="TimesNewRomanPS" w:hAnsi="TimesNewRomanPS" w:eastAsia="TimesNewRomanPS"/>
          <w:b/>
          <w:i w:val="0"/>
          <w:color w:val="000000"/>
          <w:sz w:val="24"/>
          <w:u w:val="none"/>
        </w:rPr>
        <w:t>3 Stelselontwerp</w:t>
      </w:r>
      <w:r>
        <w:rPr>
          <w:rFonts w:ascii="TimesNewRomanPS" w:hAnsi="TimesNewRomanPS" w:eastAsia="TimesNewRomanPS"/>
          <w:b/>
          <w:i w:val="0"/>
          <w:color w:val="000000"/>
          <w:sz w:val="24"/>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jc w:val="left"/>
        <w:ind w:left="1054" w:right="1054"/>
        <w:spacing w:before="120" w:after="0" w:line="276" w:lineRule="auto"/>
      </w:pPr>
      <w:r>
        <w:rPr>
          <w:rFonts w:ascii="TimesNewRomanPSMT" w:hAnsi="TimesNewRomanPSMT" w:eastAsia="TimesNewRomanPSMT"/>
          <w:b w:val="0"/>
          <w:i w:val="0"/>
          <w:color w:val="000000"/>
          <w:sz w:val="18"/>
          <w:u w:val="none"/>
        </w:rPr>
        <w:t>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center"/>
        <w:ind w:left="0" w:right="0" w:firstLine="0"/>
        <w:spacing w:after="0" w:line="276" w:lineRule="auto"/>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jc w:val="both"/>
        <w:ind w:left="1054" w:right="1054"/>
        <w:spacing w:after="0" w:line="276" w:lineRule="auto"/>
      </w:pPr>
      <w:r>
        <w:rPr>
          <w:rFonts w:ascii="TimesNewRomanPS" w:hAnsi="TimesNewRomanPS" w:eastAsia="TimesNewRomanPS"/>
          <w:b/>
          <w:i w:val="0"/>
          <w:color w:val="000000"/>
          <w:sz w:val="20"/>
          <w:u w:val="none"/>
        </w:rPr>
        <w:t xml:space="preserve">Fig. 1. </w:t>
      </w:r>
      <w:r>
        <w:rPr>
          <w:rFonts w:ascii="TimesNewRomanPS" w:hAnsi="TimesNewRomanPS" w:eastAsia="TimesNewRomanPS"/>
          <w:b w:val="0"/>
          <w:i/>
          <w:color w:val="000000"/>
          <w:sz w:val="20"/>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14"/>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14"/>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14"/>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14"/>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14"/>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jc w:val="left"/>
        <w:ind w:left="1054" w:right="1054"/>
        <w:spacing w:before="120" w:after="0" w:line="276" w:lineRule="auto"/>
      </w:pPr>
      <w:r>
        <w:rPr>
          <w:rFonts w:ascii="TimesNewRomanPSMT" w:hAnsi="TimesNewRomanPSMT" w:eastAsia="TimesNewRomanPSMT"/>
          <w:b w:val="0"/>
          <w:i w:val="0"/>
          <w:color w:val="000000"/>
          <w:sz w:val="18"/>
          <w:u w:val="none"/>
        </w:rPr>
        <w:t>6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stuk, soos geformaliseer in die volgende algoritme</w:t>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jc w:val="left"/>
        <w:ind w:left="1054" w:right="1054"/>
        <w:spacing w:before="120" w:after="0" w:line="276" w:lineRule="auto"/>
      </w:pPr>
      <w:r>
        <w:rPr>
          <w:rFonts w:ascii="TimesNewRomanPS" w:hAnsi="TimesNewRomanPS" w:eastAsia="TimesNewRomanPS"/>
          <w:b/>
          <w:i w:val="0"/>
          <w:color w:val="000000"/>
          <w:sz w:val="24"/>
          <w:u w:val="none"/>
        </w:rPr>
        <w:t>4 Evalueringsmetrieke</w:t>
      </w:r>
      <w:r>
        <w:rPr>
          <w:rFonts w:ascii="TimesNewRomanPS" w:hAnsi="TimesNewRomanPS" w:eastAsia="TimesNewRomanPS"/>
          <w:b/>
          <w:i w:val="0"/>
          <w:color w:val="000000"/>
          <w:sz w:val="24"/>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2254" w:right="0" w:firstLine="0"/>
        <w:spacing w:after="0" w:line="276" w:lineRule="auto"/>
      </w:pPr>
      <w:r>
        <w:rPr>
          <w:rFonts w:ascii="CambriaMath" w:hAnsi="CambriaMath" w:eastAsia="CambriaMath"/>
          <w:b w:val="0"/>
          <w:i w:val="0"/>
          <w:color w:val="000000"/>
          <w:sz w:val="20"/>
          <w:u w:val="none"/>
        </w:rPr>
        <w:t>d</w:t>
      </w:r>
    </w:p>
    <w:p>
      <w:pPr>
        <w:autoSpaceDN w:val="0"/>
        <w:autoSpaceDE w:val="0"/>
        <w:widowControl/>
        <w:jc w:val="both"/>
        <w:ind w:left="1054" w:right="1054"/>
        <w:spacing w:after="0" w:line="276" w:lineRule="auto"/>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autoSpaceDE w:val="0"/>
        <w:widowControl/>
        <w:jc w:val="left"/>
        <w:ind w:left="5556" w:right="0" w:firstLine="0"/>
        <w:spacing w:after="0" w:line="276" w:lineRule="auto"/>
      </w:pPr>
      <w:r>
        <w:rPr>
          <w:rFonts w:ascii="CambriaMath" w:hAnsi="CambriaMath" w:eastAsia="CambriaMath"/>
          <w:b w:val="0"/>
          <w:i w:val="0"/>
          <w:color w:val="000000"/>
          <w:sz w:val="14"/>
          <w:u w:val="none"/>
        </w:rPr>
        <w:t xml:space="preserve">A B σ </w:t>
      </w:r>
      <w:r>
        <w:rPr>
          <w:color w:val="000000"/>
          <w:sz w:val="14"/>
          <w:u w:val="none"/>
        </w:rPr>
      </w:r>
      <w:r>
        <w:rPr>
          <w:rFonts w:ascii="CambriaMath" w:hAnsi="CambriaMath" w:eastAsia="CambriaMath"/>
          <w:b w:val="0"/>
          <w:i w:val="0"/>
          <w:color w:val="000000"/>
          <w:sz w:val="14"/>
          <w:u w:val="none"/>
        </w:rPr>
      </w:r>
      <w:r>
        <w:rPr>
          <w:color w:val="000000"/>
          <w:sz w:val="14"/>
          <w:u w:val="none"/>
        </w:rPr>
      </w:r>
      <w:r>
        <w:rPr>
          <w:rFonts w:ascii="CambriaMath" w:hAnsi="CambriaMath" w:eastAsia="CambriaMath"/>
          <w:b w:val="0"/>
          <w:i w:val="0"/>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br/>
      </w:r>
      <w:r>
        <w:rPr>
          <w:color w:val="000000"/>
          <w:sz w:val="14"/>
          <w:u w:val="none"/>
        </w:rPr>
      </w:r>
    </w:p>
    <w:p>
      <w:pPr>
        <w:autoSpaceDN w:val="0"/>
        <w:autoSpaceDE w:val="0"/>
        <w:widowControl/>
        <w:jc w:val="right"/>
        <w:ind w:left="6192" w:right="2260" w:firstLine="0"/>
        <w:spacing w:after="0" w:line="276" w:lineRule="auto"/>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autoSpaceDE w:val="0"/>
        <w:widowControl/>
        <w:jc w:val="left"/>
        <w:ind w:left="1054" w:right="1008" w:firstLine="0"/>
        <w:spacing w:after="0" w:line="276" w:lineRule="auto"/>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jc w:val="left"/>
        <w:ind w:left="1054" w:right="1054"/>
        <w:spacing w:before="120" w:after="0" w:line="276" w:lineRule="auto"/>
      </w:pPr>
      <w:r>
        <w:rPr>
          <w:rFonts w:ascii="TimesNewRomanPSMT" w:hAnsi="TimesNewRomanPSMT" w:eastAsia="TimesNewRomanPSMT"/>
          <w:b w:val="0"/>
          <w:i w:val="0"/>
          <w:color w:val="000000"/>
          <w:sz w:val="18"/>
          <w:u w:val="none"/>
        </w:rPr>
        <w:t>8 F. Skrywer en S. Skrywer</w:t>
      </w:r>
      <w:r>
        <w:rPr>
          <w:rFonts w:ascii="TimesNewRomanPSMT" w:hAnsi="TimesNewRomanPSMT" w:eastAsia="TimesNewRomanPSMT"/>
          <w:b w:val="0"/>
          <w:i w:val="0"/>
          <w:color w:val="000000"/>
          <w:sz w:val="18"/>
          <w:u w:val="none"/>
        </w:rPr>
      </w:r>
    </w:p>
    <w:p>
      <w:pPr>
        <w:autoSpaceDN w:val="0"/>
        <w:tabs>
          <w:tab w:pos="1620" w:val="left"/>
        </w:tabs>
        <w:autoSpaceDE w:val="0"/>
        <w:widowControl/>
        <w:jc w:val="left"/>
        <w:ind w:left="1054" w:right="1054"/>
        <w:spacing w:before="120" w:after="0" w:line="276" w:lineRule="auto"/>
      </w:pPr>
      <w:r>
        <w:rPr>
          <w:rFonts w:ascii="TimesNewRomanPS" w:hAnsi="TimesNewRomanPS" w:eastAsia="TimesNewRomanPS"/>
          <w:b/>
          <w:i w:val="0"/>
          <w:color w:val="000000"/>
          <w:sz w:val="24"/>
          <w:u w:val="none"/>
        </w:rPr>
        <w:t>5 Eksperimente en resultate</w:t>
      </w:r>
      <w:r>
        <w:rPr>
          <w:rFonts w:ascii="TimesNewRomanPS" w:hAnsi="TimesNewRomanPS" w:eastAsia="TimesNewRomanPS"/>
          <w:b/>
          <w:i w:val="0"/>
          <w:color w:val="000000"/>
          <w:sz w:val="24"/>
          <w:u w:val="none"/>
        </w:rPr>
      </w:r>
    </w:p>
    <w:p>
      <w:pPr>
        <w:autoSpaceDN w:val="0"/>
        <w:autoSpaceDE w:val="0"/>
        <w:widowControl/>
        <w:jc w:val="both"/>
        <w:ind w:left="1054" w:right="1054"/>
        <w:spacing w:after="0" w:line="276" w:lineRule="auto"/>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4"/>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4"/>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right"/>
        <w:ind w:left="0" w:right="3746" w:firstLine="0"/>
        <w:spacing w:after="0" w:line="276" w:lineRule="auto"/>
      </w:pPr>
      <w:r>
        <w:rPr>
          <w:rFonts w:ascii="TimesNewRomanPSMT" w:hAnsi="TimesNewRomanPSMT" w:eastAsia="TimesNewRomanPSMT"/>
          <w:b w:val="0"/>
          <w:i w:val="0"/>
          <w:color w:val="000000"/>
          <w:sz w:val="18"/>
          <w:u w:val="none"/>
        </w:rPr>
        <w:t>Bydrae Titel (verkort indien te lank) 9</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4"/>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4"/>
                <w:u w:val="none"/>
              </w:rPr>
              <w:t>PyTorch Slegs SVE, 4 drade</w:t>
            </w:r>
          </w:p>
        </w:tc>
      </w:tr>
    </w:tbl>
    <w:p>
      <w:pPr>
        <w:autoSpaceDN w:val="0"/>
        <w:autoSpaceDE w:val="0"/>
        <w:widowControl/>
        <w:jc w:val="both"/>
        <w:ind w:left="1054" w:right="1054"/>
        <w:spacing w:after="0" w:line="276" w:lineRule="auto"/>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4"/>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4"/>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4"/>
                <w:u w:val="none"/>
              </w:rPr>
              <w:t xml:space="preserve">giong_goc af giong_clone Danh_1 en Danh_clone </w:t>
              <w:br/>
              <w:t>Khang1 en Khang_clone Ngoc1 en Ngoc_clone</w:t>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5"/>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p>
        </w:tc>
      </w:tr>
    </w:tbl>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4"/>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4"/>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4"/>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6"/>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4"/>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4"/>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4"/>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4"/>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4"/>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4"/>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4"/>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jc w:val="left"/>
        <w:ind w:left="1054" w:right="1054"/>
        <w:spacing w:before="120" w:after="0" w:line="276" w:lineRule="auto"/>
      </w:pPr>
      <w:r>
        <w:rPr>
          <w:rFonts w:ascii="TimesNewRomanPSMT" w:hAnsi="TimesNewRomanPSMT" w:eastAsia="TimesNewRomanPSMT"/>
          <w:b w:val="0"/>
          <w:i w:val="0"/>
          <w:color w:val="000000"/>
          <w:sz w:val="18"/>
          <w:u w:val="none"/>
        </w:rPr>
        <w:t>10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1008" w:firstLine="0"/>
        <w:spacing w:after="0" w:line="276" w:lineRule="auto"/>
      </w:pPr>
      <w:r>
        <w:rPr>
          <w:rFonts w:ascii="TimesNewRomanPSMT" w:hAnsi="TimesNewRomanPSMT" w:eastAsia="TimesNewRomanPSMT"/>
          <w:b w:val="0"/>
          <w:i w:val="0"/>
          <w:color w:val="000000"/>
          <w:sz w:val="20"/>
          <w:u w:val="none"/>
        </w:rPr>
        <w:t>Bydrae Titel (verkort indien te lank) 11</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SymbolMT" w:hAnsi="SymbolMT" w:eastAsia="SymbolMT"/>
          <w:b w:val="0"/>
          <w:i w:val="0"/>
          <w:color w:val="000000"/>
          <w:sz w:val="20"/>
          <w:u w:val="none"/>
        </w:rPr>
        <w:t></w:t>
      </w:r>
      <w:r>
        <w:rPr>
          <w:color w:val="000000"/>
          <w:sz w:val="20"/>
          <w:u w:val="none"/>
        </w:rPr>
        <w:t xml:space="preserve"> </w:t>
      </w:r>
      <w:r>
        <w:rPr>
          <w:rFonts w:ascii="TimesNewRomanPSMT" w:hAnsi="TimesNewRomanPSMT" w:eastAsia="TimesNewRomanPSMT"/>
          <w:b w:val="0"/>
          <w:i w:val="0"/>
          <w:color w:val="000000"/>
          <w:sz w:val="20"/>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jc w:val="left"/>
        <w:ind w:left="1054" w:right="1054"/>
        <w:spacing w:before="120" w:after="0" w:line="276" w:lineRule="auto"/>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jc w:val="left"/>
        <w:ind w:left="1054" w:right="1054"/>
        <w:spacing w:before="120" w:after="0" w:line="276" w:lineRule="auto"/>
      </w:pPr>
      <w:r>
        <w:rPr>
          <w:rFonts w:ascii="TimesNewRomanPSMT" w:hAnsi="TimesNewRomanPSMT" w:eastAsia="TimesNewRomanPSMT"/>
          <w:b w:val="0"/>
          <w:i w:val="0"/>
          <w:color w:val="000000"/>
          <w:sz w:val="18"/>
          <w:u w:val="none"/>
        </w:rPr>
        <w:t>12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144" w:right="1008" w:firstLine="0"/>
        <w:spacing w:after="0" w:line="276" w:lineRule="auto"/>
      </w:pPr>
      <w:r>
        <w:rPr>
          <w:rFonts w:ascii="TimesNewRomanPS" w:hAnsi="TimesNewRomanPS" w:eastAsia="TimesNewRomanPS"/>
          <w:b/>
          <w:i w:val="0"/>
          <w:color w:val="000000"/>
          <w:sz w:val="18"/>
          <w:u w:val="none"/>
        </w:rPr>
        <w:t>Verwysings</w:t>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1.  Ardila,  R.,  Branson,  M.,  Davis,  K.,  Henretty,  M.,  Kohler,  M.,  Meyer,  J.,  Morais,  R.,  Saunders,  L.,  Tyers,  F.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E.,&amp;Ponti,  M.  A.(2022).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K.,&amp;Toutanova,  K.(2019).  BERT:  Pre-training  of  deep  bidirectional  transformers  for  language  understanding.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https://arxiv.org/abs/1810.04805 </w:t>
        <w:br/>
        <w:t>6.  Do,  N.(2026).  VietNormalizer:  An  open-source,  dependency-free  Python  library  for  Vietnamese  text  normalization  in  TTS  and  NLP  applications.  arXiv.</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https://arxiv.org/abs/2603.04145 </w:t>
        <w:br/>
        <w:t xml:space="preserve">7.  Goodfellow,  I.,  Pouget-Abadie,  J.,  Mirza,  M.,  Xu,  B.,  Warde-Farley,  D.,  Ozair,  S.,  Courville,  A.,  &amp;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t xml:space="preserve">&amp; </w:t>
      </w:r>
      <w:r>
        <w:rPr>
          <w:color w:val="000000"/>
          <w:sz w:val="20"/>
          <w:u w:val="none"/>
        </w:rPr>
        <w:t xml:space="preserve"> </w:t>
      </w:r>
      <w:r>
        <w:rPr>
          <w:rFonts w:ascii="TimesNewRomanPSMT" w:hAnsi="TimesNewRomanPSMT" w:eastAsia="TimesNewRomanPSMT"/>
          <w:b w:val="0"/>
          <w:i w:val="0"/>
          <w:color w:val="000000"/>
          <w:sz w:val="20"/>
          <w:u w:val="none"/>
        </w:rPr>
        <w:t xml:space="preserve"> Bengio,  Y.  (2014).  Generative  adversarial  networks.  arXiv.</w:t>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https://arxiv.org/abs/1406.2661 </w:t>
        <w:br/>
        <w:t xml:space="preserve">8.  Hsu,  W.  N.,  Bolte,  B.,  Tsai,  Y.  H.  H.,  Lakhotia,  K.,  Salakhutdinov,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R.,&amp;Mohamed,  A.</w:t>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https://proceedings.neurips.cc/paper/2018/hash/6832a7b24bc06775d02b7406880b93fc-Abstract.html</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6" w:right="1008" w:firstLine="0"/>
        <w:spacing w:after="0" w:line="276" w:lineRule="auto"/>
      </w:pPr>
      <w:r>
        <w:rPr>
          <w:rFonts w:ascii="TimesNewRomanPSMT" w:hAnsi="TimesNewRomanPSMT" w:eastAsia="TimesNewRomanPSMT"/>
          <w:b w:val="0"/>
          <w:i w:val="0"/>
          <w:color w:val="000000"/>
          <w:sz w:val="18"/>
          <w:u w:val="none"/>
        </w:rPr>
        <w:t>Bydrae Titel (verkort indien te lank) 13</w:t>
      </w:r>
      <w:r>
        <w:rPr>
          <w:color w:val="000000"/>
          <w:sz w:val="18"/>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K.,&amp;Hojo, N.(2018). StarGAN-VC: Non-parallel  many-to-many voice conversion using star generative adversarial networks.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https://arxiv.org/abs/1806.02169 </w:t>
        <w:br/>
        <w:t xml:space="preserve">13. Kim, J., Kong,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P.,&amp;Welling, M.(2014). Auto-encoding variational bayes.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https://arxiv.org/abs/1312.6114 </w:t>
        <w:br/>
        <w:t xml:space="preserve">15.  Kong,  J.,  Kim,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https://github.com/NTT123/vietTTS </w:t>
        <w:br/>
        <w:t xml:space="preserve">19.  Oord,  A.  van  den,  Dieleman,  S.,  Zen,  H.,  Simonyan,  K.,  Vinyals,  O.,  Graves,  A.,   Kalchbrenner,  N.,  Senior,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X.,&amp;Hasegawa-Johnson,  M.(2019).  AutoVC:   Zero-shot  voice  style  transfer   with   only  autoencoder  loss.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https://arxiv.org/abs/1905.05879 </w:t>
        <w:br/>
        <w:t xml:space="preserve">23. Radford, A., Kim, J. W., Xu, T., Brockman, G., McLeavey,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C.,&amp;Sutskever, I.(2022).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Robuuste spraakherkenning deur grootskaalse swak toesig.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https://arxiv.org/abs/2212.04356 </w:t>
        <w:br/>
        <w:t xml:space="preserve">24. Reddy, C. K., Gopal,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Y.,&amp;Wu, Y.(2018).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Natuurlike TTS-sintese deur WaveNet te kondisioneer op mel-spektrogramvoorspellings.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https://arxiv.org/abs/1712.05884 </w:t>
        <w:br/>
        <w:t>28. Thinh, L.(2024). viXTTS: A Vietnamese voice cloning text-to-speech model. GitHub.</w:t>
      </w:r>
      <w:r>
        <w:rPr>
          <w:color w:val="000000"/>
          <w:sz w:val="2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after="0" w:line="276" w:lineRule="auto"/>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jc w:val="left"/>
        <w:ind w:left="1054" w:right="1054"/>
        <w:spacing w:before="120" w:after="0" w:line="276" w:lineRule="auto"/>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29. Vaswani, A., Shazeer, N., Parmar, N., Uszkoreit, J., Jones, L., Gomez, A. N., Kaiser, Ł., &amp;</w:t>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Polosukhin, I. (2017). Aandag is al wat jy nodig het. arXiv. __HOU_0__</w:t>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30. Vu, T., Nguyen, L. T., &amp;Nguyen, D. Q. (2025). Zero-shot text-to-speech for Vietnamese.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after="0" w:line="276" w:lineRule="auto"/>
      </w:pPr>
      <w:r>
        <w:rPr>
          <w:rFonts w:ascii="TimesNewRomanPSMT" w:hAnsi="TimesNewRomanPSMT" w:eastAsia="TimesNewRomanPSMT"/>
          <w:b w:val="0"/>
          <w:i w:val="0"/>
          <w:color w:val="000000"/>
          <w:sz w:val="18"/>
          <w:u w:val="none"/>
        </w:rPr>
        <w:t>arXiv. __HOU_0__</w:t>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31. Wan, L., Wang, Q., Papir,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A.,&amp;Moreno, I. L.(2018). Generalized end-to-end loss for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spreker verifikasie. In 2018 IEEE Internasionale Konferensie oor akoestiek, spraak 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Seinverwerking (ICASSP) (pp. 4879–4883).  IEEE.</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after="0" w:line="276" w:lineRule="auto"/>
      </w:pPr>
      <w:r>
        <w:rPr>
          <w:rFonts w:ascii="TimesNewRomanPSMT" w:hAnsi="TimesNewRomanPSMT" w:eastAsia="TimesNewRomanPSMT"/>
          <w:b w:val="0"/>
          <w:i w:val="0"/>
          <w:color w:val="000000"/>
          <w:sz w:val="18"/>
          <w:u w:val="none"/>
        </w:rPr>
        <w:t>https://ieeexplore.ieee.org/abstract/document/8462665</w:t>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32. Wang, Y., Skerry-Ryan, R. J., Stanton, D., Wu, Y., Weiss, R. J., Jaitly, N., Yang, Z., Xiao,</w:t>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Y., Chen, Z., Bengio, S., Le, Q., Agiomyrgiannakis, Y., Clark, 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Saurous, 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(2017).  Tacotron: Op pad na end-tot-end spraaksintese.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after="0" w:line="276" w:lineRule="auto"/>
      </w:pPr>
      <w:r>
        <w:rPr>
          <w:rFonts w:ascii="TimesNewRomanPSMT" w:hAnsi="TimesNewRomanPSMT" w:eastAsia="TimesNewRomanPSMT"/>
          <w:b w:val="0"/>
          <w:i w:val="0"/>
          <w:color w:val="000000"/>
          <w:sz w:val="18"/>
          <w:u w:val="none"/>
        </w:rPr>
        <w:t>https://arxiv.org/abs/1703.10132</w:t>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33. Wang, Y., Stanton, D., Zhang, Y., Skerry-Ryan, R. J., Battenberg, E., Shor, J., Xiao, 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 xml:space="preserve">Jia, Y., Ren, F.,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Saurous, R. A. (2018). Styltekens: stylmodellering sonder toesig,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beheer en oordrag in end-tot-end spraaksintese.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center"/>
        <w:ind w:left="0" w:right="0" w:firstLine="0"/>
        <w:spacing w:after="0" w:line="276" w:lineRule="auto"/>
      </w:pPr>
      <w:r>
        <w:rPr>
          <w:rFonts w:ascii="TimesNewRomanPSMT" w:hAnsi="TimesNewRomanPSMT" w:eastAsia="TimesNewRomanPSMT"/>
          <w:b w:val="0"/>
          <w:i w:val="0"/>
          <w:color w:val="000000"/>
          <w:sz w:val="18"/>
          <w:u w:val="none"/>
        </w:rPr>
        <w:t>https://arxiv.org/abs/1803.09017</w:t>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34. Yamagishi, J., Veaux, C., &amp;MacDonald, K. (2019). CSTR VCTK Corpus: English multi-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sprekerskorpus vir CSTR stem kloning toolkit (weergawe 0.92). Universiteit van Edinburgh.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https://datashare.ed.ac.uk/handle/10283/3443</w:t>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35. Zen, H., Dang, V., Clark, R., Zhang, Y., Weiss, R. J., Jia, Y., Chen, Z., &amp;Wu, Y. (2019).</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LibriTTS: 'n Korpus afgelei van LibriSpeech vir teks-na-spraak.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ind w:left="1394" w:right="0" w:firstLine="0"/>
        <w:jc w:val="left"/>
        <w:spacing w:after="0" w:line="276" w:lineRule="auto"/>
      </w:pPr>
      <w:r>
        <w:rPr>
          <w:rFonts w:ascii="TimesNewRomanPSMT" w:hAnsi="TimesNewRomanPSMT" w:eastAsia="TimesNewRomanPSMT"/>
          <w:b w:val="0"/>
          <w:i w:val="0"/>
          <w:color w:val="000000"/>
          <w:sz w:val="18"/>
          <w:u w:val="none"/>
        </w:rPr>
        <w:t>https://arxiv.org/abs/1904.02882</w:t>
      </w:r>
    </w:p>
    <w:p>
      <w:pPr>
        <w:autoSpaceDN w:val="0"/>
        <w:autoSpaceDE w:val="0"/>
        <w:widowControl/>
        <w:jc w:val="both"/>
        <w:ind w:left="1054" w:right="1054"/>
        <w:spacing w:after="0" w:line="276" w:lineRule="auto"/>
      </w:pPr>
      <w:r>
        <w:rPr>
          <w:rFonts w:ascii="TimesNewRomanPSMT" w:hAnsi="TimesNewRomanPSMT" w:eastAsia="TimesNewRomanPSMT"/>
          <w:b w:val="0"/>
          <w:i w:val="0"/>
          <w:color w:val="000000"/>
          <w:sz w:val="20"/>
          <w:u w:val="none"/>
        </w:rPr>
        <w:t>36. Le, T. (2024). viVoice: A large-scale multi-speaker Vietnamese speech dataset for text-to-</w:t>
      </w:r>
      <w:r>
        <w:rPr>
          <w:rFonts w:ascii="TimesNewRomanPSMT" w:hAnsi="TimesNewRomanPSMT" w:eastAsia="TimesNewRomanPSMT"/>
          <w:b w:val="0"/>
          <w:i w:val="0"/>
          <w:color w:val="000000"/>
          <w:sz w:val="20"/>
          <w:u w:val="none"/>
        </w:rPr>
      </w:r>
    </w:p>
    <w:p>
      <w:pPr>
        <w:autoSpaceDN w:val="0"/>
        <w:autoSpaceDE w:val="0"/>
        <w:widowControl/>
        <w:ind w:left="1394" w:right="0" w:firstLine="0"/>
        <w:jc w:val="left"/>
        <w:spacing w:after="0" w:line="276" w:lineRule="auto"/>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