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Outomatiese teks-na-spraak-stelsel vir Viëtnamees gebruik</w:t>
      </w: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Kunsmatige Intelligensie</w:t>
      </w:r>
    </w:p>
    <w:p>
      <w:pPr>
        <w:autoSpaceDN w:val="0"/>
        <w:autoSpaceDE w:val="0"/>
        <w:widowControl/>
        <w:jc w:val="center"/>
        <w:ind w:left="0" w:right="0" w:firstLine="0"/>
        <w:spacing w:line="268" w:lineRule="exact" w:before="430" w:after="0"/>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jc w:val="center"/>
        <w:ind w:left="0" w:right="0" w:firstLine="0"/>
        <w:spacing w:line="302" w:lineRule="exact" w:before="114" w:after="0"/>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jc w:val="center"/>
        <w:ind w:left="0" w:right="0" w:firstLine="0"/>
        <w:spacing w:line="304" w:lineRule="exact" w:before="0" w:after="0"/>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jc w:val="center"/>
        <w:ind w:left="0" w:right="0" w:firstLine="0"/>
        <w:spacing w:line="306" w:lineRule="exact" w:before="0" w:after="0"/>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jc w:val="both"/>
        <w:ind w:left="1054" w:right="1054" w:firstLine="0"/>
        <w:spacing w:line="240" w:lineRule="exact" w:before="330" w:after="0"/>
      </w:pPr>
      <w:r>
        <w:rPr>
          <w:rFonts w:ascii="TimesNewRomanPS" w:hAnsi="TimesNewRomanPS" w:eastAsia="TimesNewRomanPS"/>
          <w:b/>
          <w:i w:val="0"/>
          <w:color w:val="000000"/>
          <w:sz w:val="20"/>
          <w:u w:val="none"/>
        </w:rPr>
        <w:t xml:space="preserve">Abstrak.  </w:t>
      </w:r>
      <w:r>
        <w:rPr>
          <w:rFonts w:ascii="TimesNewRomanPSMT" w:hAnsi="TimesNewRomanPSMT" w:eastAsia="TimesNewRomanPSMT"/>
          <w:b w:val="0"/>
          <w:i w:val="0"/>
          <w:color w:val="000000"/>
          <w:sz w:val="20"/>
          <w:u w:val="none"/>
        </w:rPr>
        <w:t>In die konteks van digitale transformasie en die vinnige vooruitgang van</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kunsmatige intelligensie, het die vraag na teks-na-spraak (TTS)-stelsels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raak toenemend krities oor domeine soos virtuele assistente,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onderwys, outomatiese oproepsentrums, en toeganklikheid gereedskap vir die visueel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benadeel.  Genereer egter natuurlik, konteksbewus en prosodies</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gepaste spraak bly 'n groot uitdaging, veral vir</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Viëtnamees—'n toontaal met komplekse toonhoogtekontoere en streeks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diversiteit. Hierdie navorsing stel voor en ontwikkel 'n Viëtnamese TTS-stelsel wat gebou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op moderne diepleermodelle om die beperkings van tradisionele te oorkom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metodes.  Die stelsel maak gebruik van die nuutste argitekture, insluitend</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Tacotron, FastSpeech en VITS, gekombineer met masjienleertegnieke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sintese kwaliteit te verbeter. Konstruksie en evaluering word uitgevoer op 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diverse Viëtnamese datastel, wat aanpasbaarheid by verskeie werklike wêreld verseker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kontekste. Resultate toon dat die stelsel natuurlik, duidelik, hoogs bereik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buigsame spraakuitset met breë potensiaal vir ontplooiing in digitale platforms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620" w:right="0" w:firstLine="0"/>
        <w:spacing w:line="242" w:lineRule="exact" w:before="0" w:after="0"/>
      </w:pPr>
      <w:r>
        <w:rPr>
          <w:rFonts w:ascii="TimesNewRomanPSMT" w:hAnsi="TimesNewRomanPSMT" w:eastAsia="TimesNewRomanPSMT"/>
          <w:b w:val="0"/>
          <w:i w:val="0"/>
          <w:color w:val="000000"/>
          <w:sz w:val="18"/>
          <w:u w:val="none"/>
        </w:rPr>
        <w:t>en intelligente dienste.</w:t>
      </w:r>
    </w:p>
    <w:p>
      <w:pPr>
        <w:autoSpaceDN w:val="0"/>
        <w:autoSpaceDE w:val="0"/>
        <w:widowControl/>
        <w:jc w:val="both"/>
        <w:ind w:left="1054" w:right="1054" w:firstLine="0"/>
        <w:spacing w:line="240" w:lineRule="exact" w:before="330" w:after="0"/>
      </w:pPr>
      <w:r>
        <w:rPr>
          <w:rFonts w:ascii="TimesNewRomanPS" w:hAnsi="TimesNewRomanPS" w:eastAsia="TimesNewRomanPS"/>
          <w:b/>
          <w:i w:val="0"/>
          <w:color w:val="000000"/>
          <w:sz w:val="20"/>
          <w:u w:val="none"/>
        </w:rPr>
        <w:t xml:space="preserve">Sleutelwoorde: </w:t>
      </w:r>
      <w:r>
        <w:rPr>
          <w:rFonts w:ascii="TimesNewRomanPSMT" w:hAnsi="TimesNewRomanPSMT" w:eastAsia="TimesNewRomanPSMT"/>
          <w:b w:val="0"/>
          <w:i w:val="0"/>
          <w:color w:val="000000"/>
          <w:sz w:val="20"/>
          <w:u w:val="none"/>
        </w:rPr>
        <w:t>Teks-na-spraak (TTS), Kunsmatige Intelligensie (KI), Deep Learning,</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Natuurlike Taalverwerking (NLP), Spraaksintese.</w:t>
      </w:r>
    </w:p>
    <w:p>
      <w:pPr>
        <w:autoSpaceDN w:val="0"/>
        <w:autoSpaceDE w:val="0"/>
        <w:widowControl/>
        <w:jc w:val="left"/>
        <w:ind w:left="1054" w:right="0" w:firstLine="0"/>
        <w:spacing w:line="332" w:lineRule="exact" w:before="336" w:after="0"/>
        <w:tabs>
          <w:tab w:pos="1620" w:val="left"/>
        </w:tabs>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Gedryf deur digitale transformasie en die vordering van kunsmatige intelligensie, die behoefte om</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bou teks-na-spraak (TTS)-stelsels word al hoe belangriker op gebiede soos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as virtuele assistente, onderwys, outomatiese oproepsentrums, en ondersteuning vir die visueel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benadeel. Die TTS-probleem strek egter verder as die omskakeling van teks in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oudio; dit vereis dat die gesintetiseerde stem natuurlik moet wees, gepaste intonasie dra,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en pas by die gegewe konteks - 'n besonder moeilike taak vir Viëtnamees, 'n taal met</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'n komplekse toonstelsel en aansienlike streeksvariasie (Do, 2026).</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Tradisionele konketenatiewe en formant-gebaseerde TTS-metodes (Zen et al., 2019)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Hidden Markov Model (HMM)-gebaseerde sintese (Zen et al., 2019) vertoon beperkings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in buigsaamheid, natuurlikheid en skaalbaarheid. In reaksie, moderne diep leer modelle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soos Tacotron (Wang et al., 2017), Tacotron 2 (Shen et al., 2018), FastSpeech (Ren)</w:t>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0" w:firstLine="0"/>
        <w:spacing w:line="242" w:lineRule="exact" w:before="0" w:after="0"/>
        <w:tabs>
          <w:tab w:pos="1644" w:val="left"/>
        </w:tabs>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0" w:firstLine="0"/>
        <w:spacing w:line="332" w:lineRule="exact" w:before="336" w:after="0"/>
        <w:tabs>
          <w:tab w:pos="1620" w:val="left"/>
        </w:tabs>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054" w:right="1008" w:firstLine="0"/>
        <w:spacing w:line="240" w:lineRule="exact" w:before="232" w:after="0"/>
        <w:tabs>
          <w:tab w:pos="2656" w:val="left"/>
          <w:tab w:pos="3916" w:val="left"/>
          <w:tab w:pos="4512" w:val="left"/>
          <w:tab w:pos="5450" w:val="left"/>
          <w:tab w:pos="5844" w:val="left"/>
          <w:tab w:pos="6694" w:val="left"/>
          <w:tab w:pos="7276" w:val="left"/>
          <w:tab w:pos="7816" w:val="left"/>
        </w:tabs>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center"/>
        <w:ind w:left="0" w:right="0" w:firstLine="0"/>
        <w:spacing w:line="240" w:lineRule="auto" w:before="312" w:after="0"/>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jc w:val="both"/>
        <w:ind w:left="1054" w:right="1054" w:firstLine="0"/>
        <w:spacing w:line="240" w:lineRule="exact" w:before="330" w:after="0"/>
      </w:pPr>
      <w:r>
        <w:rPr>
          <w:rFonts w:ascii="TimesNewRomanPS" w:hAnsi="TimesNewRomanPS" w:eastAsia="TimesNewRomanPS"/>
          <w:b/>
          <w:i w:val="0"/>
          <w:color w:val="000000"/>
          <w:sz w:val="20"/>
          <w:u w:val="none"/>
        </w:rPr>
        <w:t xml:space="preserve">Fig. 1. </w:t>
      </w:r>
      <w:r>
        <w:rPr>
          <w:rFonts w:ascii="TimesNewRomanPS" w:hAnsi="TimesNewRomanPS" w:eastAsia="TimesNewRomanPS"/>
          <w:b w:val="0"/>
          <w:i/>
          <w:color w:val="000000"/>
          <w:sz w:val="20"/>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14"/>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4"/>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14"/>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14"/>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14"/>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autoSpaceDE w:val="0"/>
        <w:widowControl/>
        <w:jc w:val="left"/>
        <w:ind w:left="1054" w:right="0" w:firstLine="0"/>
        <w:spacing w:line="268" w:lineRule="exact" w:before="302" w:after="0"/>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line="240" w:lineRule="exact" w:before="240" w:after="0"/>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6" w:firstLine="0"/>
        <w:spacing w:line="240" w:lineRule="exact" w:before="232" w:after="0"/>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2254" w:right="0" w:firstLine="0"/>
        <w:spacing w:line="266" w:lineRule="exact" w:before="0" w:after="0"/>
        <w:tabs>
          <w:tab w:pos="4474" w:val="left"/>
          <w:tab w:pos="5060" w:val="left"/>
          <w:tab w:pos="5652" w:val="left"/>
          <w:tab w:pos="5794" w:val="left"/>
          <w:tab w:pos="6048" w:val="left"/>
        </w:tabs>
      </w:pPr>
      <w:r>
        <w:rPr>
          <w:rFonts w:ascii="CambriaMath" w:hAnsi="CambriaMath" w:eastAsia="CambriaMath"/>
          <w:b w:val="0"/>
          <w:i w:val="0"/>
          <w:color w:val="000000"/>
          <w:sz w:val="20"/>
          <w:u w:val="none"/>
        </w:rPr>
        <w:t>d</w:t>
      </w:r>
    </w:p>
    <w:p>
      <w:pPr>
        <w:autoSpaceDN w:val="0"/>
        <w:autoSpaceDE w:val="0"/>
        <w:widowControl/>
        <w:jc w:val="both"/>
        <w:ind w:left="1054" w:right="1054" w:firstLine="0"/>
        <w:spacing w:line="240" w:lineRule="exact" w:before="330" w:after="0"/>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autoSpaceDE w:val="0"/>
        <w:widowControl/>
        <w:jc w:val="left"/>
        <w:ind w:left="5556" w:right="0" w:firstLine="0"/>
        <w:spacing w:line="138" w:lineRule="exact" w:before="0" w:after="0"/>
        <w:tabs>
          <w:tab w:pos="5810" w:val="left"/>
          <w:tab w:pos="5936" w:val="left"/>
          <w:tab w:pos="6170" w:val="left"/>
          <w:tab w:pos="6312" w:val="left"/>
        </w:tabs>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jc w:val="right"/>
        <w:ind w:left="6192" w:right="2260" w:firstLine="0"/>
        <w:spacing w:line="144" w:lineRule="exact" w:before="0" w:after="0"/>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autoSpaceDE w:val="0"/>
        <w:widowControl/>
        <w:jc w:val="left"/>
        <w:ind w:left="1054" w:right="1008" w:firstLine="0"/>
        <w:spacing w:line="240" w:lineRule="exact" w:before="310" w:after="0"/>
        <w:tabs>
          <w:tab w:pos="4012" w:val="left"/>
          <w:tab w:pos="5824" w:val="left"/>
          <w:tab w:pos="6682" w:val="left"/>
        </w:tabs>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left"/>
        <w:ind w:left="1054" w:right="0" w:firstLine="0"/>
        <w:spacing w:line="332" w:lineRule="exact" w:before="306" w:after="0"/>
        <w:tabs>
          <w:tab w:pos="1620" w:val="left"/>
        </w:tabs>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236" w:after="0"/>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jc w:val="both"/>
        <w:ind w:left="1054" w:right="1054" w:firstLine="0"/>
        <w:spacing w:line="240" w:lineRule="exact" w:before="330" w:after="0"/>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4"/>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4"/>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right"/>
        <w:ind w:left="0" w:right="3746" w:firstLine="0"/>
        <w:spacing w:line="242" w:lineRule="exact" w:before="326" w:after="32"/>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line="240" w:lineRule="exact" w:before="278" w:after="0"/>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4"/>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4"/>
                <w:u w:val="none"/>
              </w:rPr>
              <w:t>PyTorch Slegs SVE, 4 drade</w:t>
            </w:r>
          </w:p>
        </w:tc>
      </w:tr>
    </w:tbl>
    <w:p>
      <w:pPr>
        <w:autoSpaceDN w:val="0"/>
        <w:autoSpaceDE w:val="0"/>
        <w:widowControl/>
        <w:jc w:val="both"/>
        <w:ind w:left="1054" w:right="1054" w:firstLine="0"/>
        <w:spacing w:line="240" w:lineRule="exact" w:before="330" w:after="0"/>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4"/>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4"/>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4"/>
                <w:u w:val="none"/>
              </w:rPr>
              <w:t xml:space="preserve">giong_goc af giong_clone Danh_1 en Danh_clone </w:t>
              <w:br/>
              <w:t>Khang1 en Khang_clone Ngoc1 en Ngoc_clone</w:t>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5"/>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p>
        </w:tc>
      </w:tr>
    </w:tbl>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4"/>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4"/>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4"/>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6"/>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4"/>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4"/>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4"/>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4"/>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4"/>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4"/>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4"/>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228"/>
        <w:spacing w:line="240" w:lineRule="exact" w:before="330" w:after="0"/>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1008" w:firstLine="0"/>
        <w:spacing w:line="240" w:lineRule="exact" w:before="330" w:after="0"/>
        <w:tabs>
          <w:tab w:pos="1282" w:val="left"/>
          <w:tab w:pos="1642" w:val="left"/>
          <w:tab w:pos="2002" w:val="left"/>
        </w:tabs>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SymbolMT" w:hAnsi="SymbolMT" w:eastAsia="SymbolMT"/>
          <w:b w:val="0"/>
          <w:i w:val="0"/>
          <w:color w:val="000000"/>
          <w:sz w:val="20"/>
          <w:u w:val="none"/>
        </w:rPr>
        <w:t></w:t>
      </w:r>
      <w:r>
        <w:rPr>
          <w:color w:val="000000"/>
          <w:sz w:val="20"/>
          <w:u w:val="none"/>
        </w:rPr>
        <w:t xml:space="preserve"> </w:t>
      </w:r>
      <w:r>
        <w:rPr>
          <w:rFonts w:ascii="TimesNewRomanPSMT" w:hAnsi="TimesNewRomanPSMT" w:eastAsia="TimesNewRomanPSMT"/>
          <w:b w:val="0"/>
          <w:i w:val="0"/>
          <w:color w:val="000000"/>
          <w:sz w:val="20"/>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0" w:firstLine="0"/>
        <w:spacing w:line="332" w:lineRule="exact" w:before="336" w:after="0"/>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144" w:right="1008" w:firstLine="0"/>
        <w:spacing w:line="220" w:lineRule="exact" w:before="22" w:after="0"/>
        <w:tabs>
          <w:tab w:pos="1394" w:val="left"/>
          <w:tab w:pos="2284" w:val="left"/>
          <w:tab w:pos="2668" w:val="left"/>
          <w:tab w:pos="2976" w:val="left"/>
          <w:tab w:pos="3706" w:val="left"/>
          <w:tab w:pos="4046" w:val="left"/>
          <w:tab w:pos="4736" w:val="left"/>
          <w:tab w:pos="5690" w:val="left"/>
          <w:tab w:pos="6646" w:val="left"/>
          <w:tab w:pos="7516" w:val="left"/>
        </w:tabs>
      </w:pPr>
      <w:r>
        <w:rPr>
          <w:rFonts w:ascii="TimesNewRomanPS" w:hAnsi="TimesNewRomanPS" w:eastAsia="TimesNewRomanPS"/>
          <w:b/>
          <w:i w:val="0"/>
          <w:color w:val="000000"/>
          <w:sz w:val="18"/>
          <w:u w:val="none"/>
        </w:rPr>
        <w:t>Verwysings</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1.  Ardila,  R.,  Branson,  M.,  Davis,  K.,  Henretty,  M.,  Kohler,  M.,  Meyer,  J.,  Morais,  R.,  Saunders,  L.,  Tyers,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E.,&amp;Ponti,  M.  A.(2022).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color w:val="000000"/>
          <w:sz w:val="20"/>
          <w:u w:val="none"/>
        </w:rPr>
        <w:t xml:space="preserve"> </w:t>
      </w:r>
      <w:r>
        <w:rPr>
          <w:rFonts w:ascii="TimesNewRomanPSMT" w:hAnsi="TimesNewRomanPSMT" w:eastAsia="TimesNewRomanPSMT"/>
          <w:b w:val="0"/>
          <w:i w:val="0"/>
          <w:color w:val="000000"/>
          <w:sz w:val="20"/>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K.,&amp;Toutanova,  K.(2019).  BERT:  Pre-training  of  deep  bidirectional  transformers  for  language  understanding.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color w:val="000000"/>
          <w:sz w:val="20"/>
          <w:u w:val="none"/>
        </w:rPr>
        <w:t xml:space="preserve"> </w:t>
      </w:r>
      <w:r>
        <w:rPr>
          <w:rFonts w:ascii="TimesNewRomanPSMT" w:hAnsi="TimesNewRomanPSMT" w:eastAsia="TimesNewRomanPSMT"/>
          <w:b w:val="0"/>
          <w:i w:val="0"/>
          <w:color w:val="000000"/>
          <w:sz w:val="20"/>
          <w:u w:val="none"/>
        </w:rPr>
        <w:t xml:space="preserve"> https://arxiv.org/abs/1810.04805 </w:t>
        <w:br/>
        <w:t>6.  Do,  N.(2026).  VietNormalizer:  An  open-source,  dependency-free  Python  library  for  Vietnamese  text  normalization  in  TTS  and  NLP  applications.  arXiv.</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color w:val="000000"/>
          <w:sz w:val="20"/>
          <w:u w:val="none"/>
        </w:rPr>
        <w:t xml:space="preserve"> </w:t>
      </w:r>
      <w:r>
        <w:rPr>
          <w:rFonts w:ascii="TimesNewRomanPSMT" w:hAnsi="TimesNewRomanPSMT" w:eastAsia="TimesNewRomanPSMT"/>
          <w:b w:val="0"/>
          <w:i w:val="0"/>
          <w:color w:val="000000"/>
          <w:sz w:val="20"/>
          <w:u w:val="none"/>
        </w:rPr>
        <w:t xml:space="preserve"> https://arxiv.org/abs/2603.04145 </w:t>
        <w:br/>
        <w:t xml:space="preserve">7.  Goodfellow,  I.,  Pouget-Abadie,  J.,  Mirza,  M.,  Xu,  B.,  Warde-Farley,  D.,  Ozair,  S.,  Courville,  A.,  &amp;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t xml:space="preserve">&amp; </w:t>
      </w:r>
      <w:r>
        <w:rPr>
          <w:color w:val="000000"/>
          <w:sz w:val="20"/>
          <w:u w:val="none"/>
        </w:rPr>
        <w:t xml:space="preserve"> </w:t>
      </w:r>
      <w:r>
        <w:rPr>
          <w:rFonts w:ascii="TimesNewRomanPSMT" w:hAnsi="TimesNewRomanPSMT" w:eastAsia="TimesNewRomanPSMT"/>
          <w:b w:val="0"/>
          <w:i w:val="0"/>
          <w:color w:val="000000"/>
          <w:sz w:val="20"/>
          <w:u w:val="none"/>
        </w:rPr>
        <w:t xml:space="preserve"> Bengio,  Y.  (2014).  Generative  adversarial  networks.  arXiv.</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color w:val="000000"/>
          <w:sz w:val="20"/>
          <w:u w:val="none"/>
        </w:rPr>
        <w:t xml:space="preserve"> </w:t>
      </w:r>
      <w:r>
        <w:rPr>
          <w:rFonts w:ascii="TimesNewRomanPSMT" w:hAnsi="TimesNewRomanPSMT" w:eastAsia="TimesNewRomanPSMT"/>
          <w:b w:val="0"/>
          <w:i w:val="0"/>
          <w:color w:val="000000"/>
          <w:sz w:val="20"/>
          <w:u w:val="none"/>
        </w:rPr>
        <w:t xml:space="preserve"> https://arxiv.org/abs/1406.2661 </w:t>
        <w:br/>
        <w:t xml:space="preserve">8.  Hsu,  W.  N.,  Bolte,  B.,  Tsai,  Y.  H.  H.,  Lakhotia,  K.,  Salakhutdinov,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R.,&amp;Mohamed,  A.</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color w:val="000000"/>
          <w:sz w:val="20"/>
          <w:u w:val="none"/>
        </w:rPr>
        <w:t xml:space="preserve"> </w:t>
      </w:r>
      <w:r>
        <w:rPr>
          <w:rFonts w:ascii="TimesNewRomanPSMT" w:hAnsi="TimesNewRomanPSMT" w:eastAsia="TimesNewRomanPSMT"/>
          <w:b w:val="0"/>
          <w:i w:val="0"/>
          <w:color w:val="000000"/>
          <w:sz w:val="20"/>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https://proceedings.neurips.cc/paper/2018/hash/6832a7b24bc06775d02b7406880b93fc-Abstract.html</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6" w:right="1008" w:firstLine="0"/>
        <w:spacing w:line="220" w:lineRule="exact" w:before="22" w:after="0"/>
        <w:tabs>
          <w:tab w:pos="1394" w:val="left"/>
          <w:tab w:pos="2196" w:val="left"/>
          <w:tab w:pos="2980" w:val="left"/>
          <w:tab w:pos="4092" w:val="left"/>
          <w:tab w:pos="4606" w:val="left"/>
          <w:tab w:pos="5676" w:val="left"/>
          <w:tab w:pos="6348" w:val="left"/>
          <w:tab w:pos="7516" w:val="left"/>
        </w:tabs>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K.,&amp;Hojo, N.(2018). StarGAN-VC: Non-parallel  many-to-many voice conversion using star generative adversarial networks.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https://arxiv.org/abs/1806.02169 </w:t>
        <w:br/>
        <w:t xml:space="preserve">13. Kim, J., Kong,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P.,&amp;Welling, M.(2014). Auto-encoding variational bayes.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https://arxiv.org/abs/1312.6114 </w:t>
        <w:br/>
        <w:t xml:space="preserve">15.  Kong,  J.,  Kim,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https://github.com/NTT123/vietTTS </w:t>
        <w:br/>
        <w:t xml:space="preserve">19.  Oord,  A.  van  den,  Dieleman,  S.,  Zen,  H.,  Simonyan,  K.,  Vinyals,  O.,  Graves,  A.,   Kalchbrenner,  N.,  Senior,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X.,&amp;Hasegawa-Johnson,  M.(2019).  AutoVC:   Zero-shot  voice  style  transfer   with   only  autoencoder  loss.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https://arxiv.org/abs/1905.05879 </w:t>
        <w:br/>
        <w:t xml:space="preserve">23. Radford, A., Kim, J. W., Xu, T., Brockman, G., McLeavey,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C.,&amp;Sutskever, I.(2022).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Robuuste spraakherkenning deur grootskaalse swak toesig.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https://arxiv.org/abs/2212.04356 </w:t>
        <w:br/>
        <w:t xml:space="preserve">24. Reddy, C. K., Gopal,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Y.,&amp;Wu, Y.(2018).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Natuurlike TTS-sintese deur WaveNet te kondisioneer op mel-spektrogramvoorspellings.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https://arxiv.org/abs/1712.05884 </w:t>
        <w:br/>
        <w:t>28. Thinh, L.(2024). viXTTS: A Vietnamese voice cloning text-to-speech model. GitHub.</w:t>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394" w:right="0" w:firstLine="0"/>
        <w:spacing w:line="242" w:lineRule="exact" w:before="0" w:after="0"/>
        <w:tabs>
          <w:tab w:pos="2448" w:val="left"/>
          <w:tab w:pos="3824" w:val="left"/>
          <w:tab w:pos="5148" w:val="left"/>
          <w:tab w:pos="6026" w:val="left"/>
          <w:tab w:pos="7536" w:val="left"/>
        </w:tabs>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29. Vaswani, A., Shazeer, N., Parmar, N., Uszkoreit, J., Jones, L., Gomez, A. N., Kaiser, Ł., &amp;</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Polosukhin, I. (2017). Aandag is al wat jy nodig het. arXiv. __HOU_0__</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30. Vu, T., Nguyen, L. T., &amp;Nguyen, D. Q. (2025). Zero-shot text-to-speech for Vietnamese.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line="242" w:lineRule="exact" w:before="0" w:after="0"/>
        <w:tabs>
          <w:tab w:pos="2302" w:val="left"/>
          <w:tab w:pos="3384" w:val="left"/>
          <w:tab w:pos="4394" w:val="left"/>
          <w:tab w:pos="5556" w:val="left"/>
          <w:tab w:pos="6430" w:val="left"/>
          <w:tab w:pos="7516" w:val="left"/>
        </w:tabs>
      </w:pPr>
      <w:r>
        <w:rPr>
          <w:rFonts w:ascii="TimesNewRomanPSMT" w:hAnsi="TimesNewRomanPSMT" w:eastAsia="TimesNewRomanPSMT"/>
          <w:b w:val="0"/>
          <w:i w:val="0"/>
          <w:color w:val="000000"/>
          <w:sz w:val="18"/>
          <w:u w:val="none"/>
        </w:rPr>
        <w:t>arXiv. __HOU_0__</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31. Wan, L., Wang, Q., Papir,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A.,&amp;Moreno, I. L.(2018). Generalized end-to-end loss for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spreker verifikasie. In 2018 IEEE Internasionale Konferensie oor akoestiek, spraak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Seinverwerking (ICASSP) (pp. 4879–4883).  IEEE.</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line="242" w:lineRule="exact" w:before="0" w:after="0"/>
        <w:tabs>
          <w:tab w:pos="2288" w:val="left"/>
          <w:tab w:pos="2932" w:val="left"/>
          <w:tab w:pos="3866" w:val="left"/>
          <w:tab w:pos="4390" w:val="left"/>
          <w:tab w:pos="5554" w:val="left"/>
          <w:tab w:pos="6428" w:val="left"/>
          <w:tab w:pos="7516" w:val="left"/>
        </w:tabs>
      </w:pPr>
      <w:r>
        <w:rPr>
          <w:rFonts w:ascii="TimesNewRomanPSMT" w:hAnsi="TimesNewRomanPSMT" w:eastAsia="TimesNewRomanPSMT"/>
          <w:b w:val="0"/>
          <w:i w:val="0"/>
          <w:color w:val="000000"/>
          <w:sz w:val="18"/>
          <w:u w:val="none"/>
        </w:rPr>
        <w:t>https://ieeexplore.ieee.org/abstract/document/8462665</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32. Wang, Y., Skerry-Ryan, R. J., Stanton, D., Wu, Y., Weiss, R. J., Jaitly, N., Yang, Z., Xiao,</w:t>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Y., Chen, Z., Bengio, S., Le, Q., Agiomyrgiannakis, Y., Clark, 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(2017).  Tacotron: Op pad na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line="242" w:lineRule="exact" w:before="0" w:after="0"/>
      </w:pPr>
      <w:r>
        <w:rPr>
          <w:rFonts w:ascii="TimesNewRomanPSMT" w:hAnsi="TimesNewRomanPSMT" w:eastAsia="TimesNewRomanPSMT"/>
          <w:b w:val="0"/>
          <w:i w:val="0"/>
          <w:color w:val="000000"/>
          <w:sz w:val="18"/>
          <w:u w:val="none"/>
        </w:rPr>
        <w:t>https://arxiv.org/abs/1703.10132</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33. Wang, Y., Stanton, D., Zhang, Y., Skerry-Ryan, R. J., Battenberg, E., Shor, J., Xiao, 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 xml:space="preserve">Jia, Y., Ren,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 A. (2018). Styltekens: stylmodellering sonder toesig,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beheer en oordrag in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https://arxiv.org/abs/1803.09017</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34. Yamagishi, J., Veaux, C., &amp;MacDonald, K. (2019). CSTR VCTK Corpus: English multi-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sprekerskorpus vir CSTR stem kloning toolkit (weergawe 0.92). Universiteit van Edinburgh.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https://datashare.ed.ac.uk/handle/10283/3443</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35. Zen, H., Dang, V., Clark, R., Zhang, Y., Weiss, R. J., Jia, Y., Chen, Z., &amp;Wu, Y. (2019).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LibriTTS: 'n Korpus afgelei van LibriSpeech vir teks-na-spraak.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jc w:val="both"/>
        <w:ind w:left="1054" w:right="1054" w:firstLine="0"/>
        <w:spacing w:line="240" w:lineRule="exact" w:before="330" w:after="0"/>
      </w:pPr>
      <w:r>
        <w:rPr>
          <w:rFonts w:ascii="TimesNewRomanPSMT" w:hAnsi="TimesNewRomanPSMT" w:eastAsia="TimesNewRomanPSMT"/>
          <w:b w:val="0"/>
          <w:i w:val="0"/>
          <w:color w:val="000000"/>
          <w:sz w:val="20"/>
          <w:u w:val="none"/>
        </w:rPr>
        <w:t>36. Le, T. (2024). viVoice: A large-scale multi-speaker Vietnamese speech dataset for text-to-</w:t>
      </w:r>
      <w:r>
        <w:rPr>
          <w:rFonts w:ascii="TimesNewRomanPSMT" w:hAnsi="TimesNewRomanPSMT" w:eastAsia="TimesNewRomanPSMT"/>
          <w:b w:val="0"/>
          <w:i w:val="0"/>
          <w:color w:val="000000"/>
          <w:sz w:val="20"/>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