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tabs>
          <w:tab w:pos="2450" w:val="left"/>
          <w:tab w:pos="3302" w:val="left"/>
          <w:tab w:pos="4208" w:val="left"/>
          <w:tab w:pos="4898" w:val="left"/>
          <w:tab w:pos="6108" w:val="left"/>
          <w:tab w:pos="6516" w:val="left"/>
        </w:tabs>
        <w:autoSpaceDE w:val="0"/>
        <w:widowControl/>
        <w:spacing w:line="242" w:lineRule="exact" w:before="0" w:after="0"/>
        <w:ind w:left="1620" w:right="0"/>
        <w:jc w:val="both"/>
      </w:pPr>
    </w:p>
    <w:p>
      <w:pPr>
        <w:autoSpaceDN w:val="0"/>
        <w:tabs>
          <w:tab w:pos="2450" w:val="left"/>
          <w:tab w:pos="3302" w:val="left"/>
          <w:tab w:pos="4208" w:val="left"/>
          <w:tab w:pos="4898" w:val="left"/>
          <w:tab w:pos="6108" w:val="left"/>
          <w:tab w:pos="6516" w:val="left"/>
        </w:tabs>
        <w:autoSpaceDE w:val="0"/>
        <w:widowControl/>
        <w:spacing w:line="242" w:lineRule="exact" w:before="0" w:after="0"/>
        <w:ind w:left="1620" w:right="0"/>
        <w:jc w:val="both"/>
      </w:pPr>
      <w:r>
        <w:rPr>
          <w:rFonts w:ascii="TimesNewRomanPS" w:hAnsi="TimesNewRomanPS" w:eastAsia="TimesNewRomanPS"/>
          <w:b/>
          <w:i w:val="0"/>
          <w:color w:val="000000"/>
          <w:sz w:val="14"/>
          <w:u w:val="none"/>
        </w:rPr>
        <w:t>Outomatiese teks-na-spraak-stelsel vir Viëtnamees gebruik</w:t>
      </w:r>
      <w:r>
        <w:rPr>
          <w:sz w:val="14"/>
        </w:rPr>
        <w:t xml:space="preserve"> </w:t>
      </w:r>
      <w:r>
        <w:rPr>
          <w:rFonts w:ascii="TimesNewRomanPS" w:hAnsi="TimesNewRomanPS"/>
          <w:b/>
          <w:i w:val="0"/>
          <w:sz w:val="14"/>
        </w:rPr>
        <w:t>Kunsmatige Intelligensie</w:t>
      </w:r>
      <w:r>
        <w:rPr>
          <w:sz w:val="14"/>
        </w:rPr>
        <w:t xml:space="preserve"> </w:t>
      </w:r>
      <w:r>
        <w:rPr>
          <w:rFonts w:ascii="TimesNewRomanPSMT" w:hAnsi="TimesNewRomanPSMT"/>
          <w:b w:val="0"/>
          <w:i w:val="0"/>
          <w:sz w:val="14"/>
        </w:rPr>
        <w:t xml:space="preserve">Thanh-Danh Vo </w:t>
      </w:r>
      <w:r>
        <w:rPr>
          <w:rFonts w:ascii="TimesNewRomanPSMT" w:hAnsi="TimesNewRomanPSMT"/>
          <w:b w:val="0"/>
          <w:i w:val="0"/>
          <w:sz w:val="14"/>
        </w:rPr>
        <w:t>1</w:t>
      </w:r>
      <w:r>
        <w:rPr>
          <w:rFonts w:ascii="TimesNewRomanPSMT" w:hAnsi="TimesNewRomanPSMT"/>
          <w:b w:val="0"/>
          <w:i w:val="0"/>
          <w:sz w:val="14"/>
        </w:rPr>
        <w:t xml:space="preserve">, Ngo-Ho </w:t>
      </w:r>
      <w:r>
        <w:rPr>
          <w:rFonts w:ascii="TimesNewRomanPSMT" w:hAnsi="TimesNewRomanPSMT"/>
          <w:b w:val="0"/>
          <w:i w:val="0"/>
          <w:sz w:val="14"/>
        </w:rPr>
        <w:t xml:space="preserve">Anh-Khoa </w:t>
      </w:r>
      <w:r>
        <w:rPr>
          <w:rFonts w:ascii="TimesNewRomanPSMT" w:hAnsi="TimesNewRomanPSMT"/>
          <w:b w:val="0"/>
          <w:i w:val="0"/>
          <w:sz w:val="14"/>
        </w:rPr>
        <w:t xml:space="preserve">1 en Ngo-Ho Anh-Khoi </w:t>
      </w:r>
      <w:r>
        <w:rPr>
          <w:rFonts w:ascii="TimesNewRomanPSMT" w:hAnsi="TimesNewRomanPSMT"/>
          <w:b w:val="0"/>
          <w:i w:val="0"/>
          <w:sz w:val="14"/>
        </w:rPr>
        <w:t>1*</w:t>
      </w:r>
      <w:r>
        <w:rPr>
          <w:sz w:val="14"/>
        </w:rPr>
        <w:t xml:space="preserve"> </w:t>
      </w:r>
      <w:r>
        <w:rPr>
          <w:rFonts w:ascii="TimesNewRomanPSMT" w:hAnsi="TimesNewRomanPSMT"/>
          <w:b w:val="0"/>
          <w:i w:val="0"/>
          <w:sz w:val="14"/>
        </w:rPr>
        <w:t xml:space="preserve">1 </w:t>
      </w:r>
      <w:r>
        <w:rPr>
          <w:rFonts w:ascii="TimesNewRomanPSMT" w:hAnsi="TimesNewRomanPSMT"/>
          <w:b w:val="0"/>
          <w:i w:val="0"/>
          <w:sz w:val="14"/>
        </w:rPr>
        <w:t>Fakulteit Inligtingstegnologie, Nam Can Tho Universiteit, Nguyen Van Custraat 168, An</w:t>
      </w:r>
      <w:r>
        <w:rPr>
          <w:sz w:val="14"/>
        </w:rPr>
        <w:t xml:space="preserve"> </w:t>
      </w:r>
      <w:r>
        <w:rPr>
          <w:rFonts w:ascii="TimesNewRomanPSMT" w:hAnsi="TimesNewRomanPSMT"/>
          <w:b w:val="0"/>
          <w:i w:val="0"/>
          <w:sz w:val="14"/>
        </w:rPr>
        <w:t>Binh Wyk, Can Tho City</w:t>
      </w:r>
      <w:r>
        <w:rPr>
          <w:rFonts w:ascii="TimesNewRomanPSMT" w:hAnsi="TimesNewRomanPSMT"/>
          <w:b w:val="0"/>
          <w:i w:val="0"/>
          <w:sz w:val="14"/>
        </w:rPr>
      </w:r>
      <w:r>
        <w:rPr>
          <w:sz w:val="14"/>
        </w:rPr>
        <w:t xml:space="preserve"> </w:t>
      </w:r>
      <w:r>
        <w:rPr>
          <w:rFonts w:ascii="CourierNewPSMT" w:hAnsi="CourierNewPSMT"/>
          <w:b w:val="0"/>
          <w:i w:val="0"/>
          <w:sz w:val="14"/>
        </w:rPr>
        <w:t>__HOU_0__, ,</w:t>
      </w:r>
      <w:r>
        <w:rPr>
          <w:rFonts w:ascii="CourierNewPSMT" w:hAnsi="CourierNewPSMT"/>
          <w:b w:val="0"/>
          <w:i w:val="0"/>
          <w:sz w:val="14"/>
        </w:rPr>
      </w:r>
      <w:r>
        <w:rPr>
          <w:rFonts w:ascii="CourierNewPSMT" w:hAnsi="CourierNewPSMT"/>
          <w:b w:val="0"/>
          <w:i w:val="0"/>
          <w:sz w:val="14"/>
        </w:rPr>
        <w:t>,</w:t>
      </w:r>
      <w:r>
        <w:rPr>
          <w:sz w:val="14"/>
        </w:rPr>
        <w:t xml:space="preserve"> </w:t>
      </w:r>
      <w:r>
        <w:rPr>
          <w:rFonts w:ascii="CourierNewPSMT" w:hAnsi="CourierNewPSMT"/>
          <w:b w:val="0"/>
          <w:i w:val="0"/>
          <w:sz w:val="14"/>
        </w:rPr>
        <w:t>nhakhoi@nctu.ed</w:t>
      </w:r>
      <w:r>
        <w:rPr>
          <w:rFonts w:ascii="CourierNewPSMT" w:hAnsi="CourierNewPSMT"/>
          <w:b w:val="0"/>
          <w:i w:val="0"/>
          <w:sz w:val="14"/>
        </w:rPr>
      </w:r>
      <w:r>
        <w:rPr>
          <w:sz w:val="14"/>
        </w:rPr>
        <w:t xml:space="preserve"> </w:t>
      </w:r>
      <w:r>
        <w:rPr>
          <w:rFonts w:ascii="TimesNewRomanPS" w:hAnsi="TimesNewRomanPS"/>
          <w:b/>
          <w:i w:val="0"/>
          <w:sz w:val="14"/>
        </w:rPr>
        <w:t xml:space="preserve">Abstrak.  </w:t>
      </w:r>
      <w:r>
        <w:rPr>
          <w:rFonts w:ascii="TimesNewRomanPSMT" w:hAnsi="TimesNewRomanPSMT"/>
          <w:b w:val="0"/>
          <w:i w:val="0"/>
          <w:sz w:val="14"/>
        </w:rPr>
        <w:t>In die konteks van digitale transformasie en die vinnige vooruitgang van</w:t>
      </w:r>
      <w:r>
        <w:rPr>
          <w:sz w:val="14"/>
        </w:rPr>
        <w:t xml:space="preserve"> </w:t>
      </w:r>
      <w:r>
        <w:rPr>
          <w:rFonts w:ascii="TimesNewRomanPSMT" w:hAnsi="TimesNewRomanPSMT"/>
          <w:b w:val="0"/>
          <w:i w:val="0"/>
          <w:sz w:val="14"/>
        </w:rPr>
        <w:t>kunsmatige intelligensie, het die vraag na teks-na-spraak (TTS)-stelsels</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raak toenemend krities oor domeine soos virtuele assistente,</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onderwys, outomatiese oproepsentrums, en toeganklikheid gereedskap vir die visueel</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benadeel.  Genereer egter natuurlik, konteksbewus en prosodies</w:t>
      </w:r>
      <w:r>
        <w:rPr>
          <w:sz w:val="14"/>
        </w:rPr>
        <w:t xml:space="preserve"> </w:t>
      </w:r>
      <w:r>
        <w:rPr>
          <w:rFonts w:ascii="TimesNewRomanPSMT" w:hAnsi="TimesNewRomanPSMT"/>
          <w:b w:val="0"/>
          <w:i w:val="0"/>
          <w:sz w:val="14"/>
        </w:rPr>
      </w:r>
      <w:r>
        <w:rPr>
          <w:sz w:val="14"/>
        </w:rPr>
        <w:t xml:space="preserve"> </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r>
      <w:r>
        <w:rPr>
          <w:sz w:val="14"/>
        </w:rPr>
        <w:t xml:space="preserve"> </w:t>
      </w:r>
      <w:r>
        <w:rPr>
          <w:rFonts w:ascii="TimesNewRomanPSMT" w:hAnsi="TimesNewRomanPSMT"/>
          <w:b w:val="0"/>
          <w:i w:val="0"/>
          <w:sz w:val="14"/>
        </w:rPr>
        <w:t>gepaste spraak bly 'n groot uitdaging, veral vir</w:t>
      </w:r>
      <w:r>
        <w:rPr>
          <w:sz w:val="14"/>
        </w:rPr>
        <w:t xml:space="preserve"> </w:t>
      </w:r>
      <w:r>
        <w:rPr>
          <w:rFonts w:ascii="TimesNewRomanPSMT" w:hAnsi="TimesNewRomanPSMT"/>
          <w:b w:val="0"/>
          <w:i w:val="0"/>
          <w:sz w:val="14"/>
        </w:rPr>
      </w:r>
      <w:r>
        <w:rPr>
          <w:sz w:val="14"/>
        </w:rPr>
        <w:t xml:space="preserve"> </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r>
      <w:r>
        <w:rPr>
          <w:sz w:val="14"/>
        </w:rPr>
        <w:t xml:space="preserve"> </w:t>
      </w:r>
      <w:r>
        <w:rPr>
          <w:rFonts w:ascii="TimesNewRomanPSMT" w:hAnsi="TimesNewRomanPSMT"/>
          <w:b w:val="0"/>
          <w:i w:val="0"/>
          <w:sz w:val="14"/>
        </w:rPr>
      </w:r>
      <w:r>
        <w:rPr>
          <w:sz w:val="14"/>
        </w:rPr>
        <w:t xml:space="preserve"> </w:t>
      </w:r>
      <w:r>
        <w:rPr>
          <w:rFonts w:ascii="TimesNewRomanPSMT" w:hAnsi="TimesNewRomanPSMT"/>
          <w:b w:val="0"/>
          <w:i w:val="0"/>
          <w:sz w:val="14"/>
        </w:rPr>
      </w:r>
      <w:r>
        <w:rPr>
          <w:sz w:val="14"/>
        </w:rPr>
        <w:t xml:space="preserve"> </w:t>
      </w:r>
      <w:r>
        <w:rPr>
          <w:rFonts w:ascii="TimesNewRomanPSMT" w:hAnsi="TimesNewRomanPSMT"/>
          <w:b w:val="0"/>
          <w:i w:val="0"/>
          <w:sz w:val="14"/>
        </w:rPr>
        <w:t>Viëtnamees—'n toontaal met komplekse toonhoogtekontoere en streeks</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diversiteit. Hierdie navorsing stel voor en ontwikkel 'n Viëtnamese TTS-stelsel wat gebou is</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op moderne diepleermodelle om die beperkings van tradisionele te oorkom</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metodes.  Die stelsel maak gebruik van die nuutste argitekture, insluitend</w:t>
      </w:r>
      <w:r>
        <w:rPr>
          <w:sz w:val="14"/>
        </w:rPr>
        <w:t xml:space="preserve"> </w:t>
      </w:r>
      <w:r>
        <w:rPr>
          <w:rFonts w:ascii="TimesNewRomanPSMT" w:hAnsi="TimesNewRomanPSMT"/>
          <w:b w:val="0"/>
          <w:i w:val="0"/>
          <w:sz w:val="14"/>
        </w:rPr>
      </w:r>
      <w:r>
        <w:rPr>
          <w:sz w:val="14"/>
        </w:rPr>
        <w:t xml:space="preserve"> </w:t>
      </w:r>
      <w:r>
        <w:rPr>
          <w:rFonts w:ascii="TimesNewRomanPSMT" w:hAnsi="TimesNewRomanPSMT"/>
          <w:b w:val="0"/>
          <w:i w:val="0"/>
          <w:sz w:val="14"/>
        </w:rPr>
      </w:r>
      <w:r>
        <w:rPr>
          <w:sz w:val="14"/>
        </w:rPr>
        <w:t xml:space="preserve"> </w:t>
      </w:r>
      <w:r>
        <w:rPr>
          <w:rFonts w:ascii="TimesNewRomanPSMT" w:hAnsi="TimesNewRomanPSMT"/>
          <w:b w:val="0"/>
          <w:i w:val="0"/>
          <w:sz w:val="14"/>
        </w:rPr>
      </w:r>
      <w:r>
        <w:rPr>
          <w:sz w:val="14"/>
        </w:rPr>
        <w:t xml:space="preserve"> </w:t>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r>
      <w:r>
        <w:rPr>
          <w:sz w:val="14"/>
        </w:rPr>
        <w:t xml:space="preserve"> </w:t>
      </w:r>
      <w:r>
        <w:rPr>
          <w:rFonts w:ascii="TimesNewRomanPSMT" w:hAnsi="TimesNewRomanPSMT"/>
          <w:b w:val="0"/>
          <w:i w:val="0"/>
          <w:sz w:val="14"/>
        </w:rPr>
        <w:t>Tacotron, FastSpeech en VITS, gekombineer met masjienleertegnieke</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sintese kwaliteit te verbeter. Konstruksie en evaluering word uitgevoer op a</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diverse Viëtnamese datastel, wat aanpasbaarheid by verskeie werklike wêreld verseker</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kontekste. Resultate toon dat die stelsel natuurlik, duidelik, hoogs bereik</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buigsame spraakuitset met breë potensiaal vir ontplooiing in digitale platforms</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en intelligente dienste.</w:t>
      </w:r>
    </w:p>
    <w:p>
      <w:pPr>
        <w:autoSpaceDN w:val="0"/>
        <w:tabs>
          <w:tab w:pos="2450" w:val="left"/>
          <w:tab w:pos="3302" w:val="left"/>
          <w:tab w:pos="4208" w:val="left"/>
          <w:tab w:pos="4898" w:val="left"/>
          <w:tab w:pos="6108" w:val="left"/>
          <w:tab w:pos="6516" w:val="left"/>
        </w:tabs>
        <w:autoSpaceDE w:val="0"/>
        <w:widowControl/>
        <w:spacing w:line="242" w:lineRule="exact" w:before="0" w:after="0"/>
        <w:ind w:left="1620" w:right="0"/>
        <w:jc w:val="both"/>
      </w:pPr>
      <w:r>
        <w:rPr>
          <w:rFonts w:ascii="TimesNewRomanPS" w:hAnsi="TimesNewRomanPS" w:eastAsia="TimesNewRomanPS"/>
          <w:b/>
          <w:i w:val="0"/>
          <w:color w:val="000000"/>
          <w:sz w:val="14"/>
          <w:u w:val="none"/>
        </w:rPr>
        <w:t xml:space="preserve">Sleutelwoorde: </w:t>
      </w:r>
      <w:r>
        <w:rPr>
          <w:rFonts w:ascii="TimesNewRomanPSMT" w:hAnsi="TimesNewRomanPSMT" w:eastAsia="TimesNewRomanPSMT"/>
          <w:b w:val="0"/>
          <w:i w:val="0"/>
          <w:color w:val="000000"/>
          <w:sz w:val="14"/>
          <w:u w:val="none"/>
        </w:rPr>
        <w:t>Teks-na-spraak (TTS), Kunsmatige Intelligensie (KI), Deep Learning,</w:t>
      </w:r>
      <w:r>
        <w:rPr>
          <w:sz w:val="14"/>
        </w:rPr>
        <w:t xml:space="preserve"> </w:t>
      </w:r>
      <w:r>
        <w:rPr>
          <w:rFonts w:ascii="TimesNewRomanPSMT" w:hAnsi="TimesNewRomanPSMT"/>
          <w:b w:val="0"/>
          <w:i w:val="0"/>
          <w:sz w:val="14"/>
        </w:rPr>
        <w:t>Natuurlike Taalverwerking (NLP), Spraaksintese.</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1 Inleiding</w:t>
      </w:r>
      <w:r>
        <w:rPr>
          <w:rFonts w:ascii="TimesNewRomanPS" w:hAnsi="TimesNewRomanPS" w:eastAsia="TimesNewRomanPS"/>
          <w:b/>
          <w:i w:val="0"/>
          <w:color w:val="000000"/>
          <w:sz w:val="24"/>
          <w:u w:val="none"/>
        </w:rPr>
      </w: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14"/>
          <w:u w:val="none"/>
        </w:rPr>
        <w:t>Gedryf deur digitale transformasie en die vordering van kunsmatige intelligensie, die behoefte om</w:t>
      </w:r>
      <w:r>
        <w:rPr>
          <w:sz w:val="14"/>
        </w:rPr>
        <w:t xml:space="preserve"> </w:t>
      </w:r>
      <w:r>
        <w:rPr>
          <w:rFonts w:ascii="TimesNewRomanPSMT" w:hAnsi="TimesNewRomanPSMT"/>
          <w:b w:val="0"/>
          <w:i w:val="0"/>
          <w:sz w:val="14"/>
        </w:rPr>
        <w:t>bou teks-na-spraak (TTS)-stelsels word al hoe belangriker op gebiede soos</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as virtuele assistente, onderwys, outomatiese oproepsentrums, en ondersteuning vir die visueel</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benadeel. Die TTS-probleem strek egter verder as die omskakeling van teks in</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oudio; dit vereis dat die gesintetiseerde stem natuurlik moet wees, gepaste intonasie dra,</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en pas by die gegewe konteks - 'n besonder moeilike taak vir Viëtnamees, 'n taal met</w:t>
      </w:r>
      <w:r>
        <w:rPr>
          <w:sz w:val="14"/>
        </w:rPr>
        <w:t xml:space="preserve"> </w:t>
      </w:r>
      <w:r>
        <w:rPr>
          <w:rFonts w:ascii="TimesNewRomanPSMT" w:hAnsi="TimesNewRomanPSMT"/>
          <w:b w:val="0"/>
          <w:i w:val="0"/>
          <w:sz w:val="14"/>
        </w:rPr>
        <w:t>'n komplekse toonstelsel en aansienlike streeksvariasie (Do, 2026).</w:t>
      </w:r>
      <w:r>
        <w:rPr>
          <w:sz w:val="14"/>
        </w:rPr>
        <w:t xml:space="preserve"> </w:t>
      </w:r>
      <w:r>
        <w:rPr>
          <w:rFonts w:ascii="TimesNewRomanPSMT" w:hAnsi="TimesNewRomanPSMT"/>
          <w:b w:val="0"/>
          <w:i w:val="0"/>
          <w:sz w:val="14"/>
        </w:rPr>
        <w:t>Tradisionele konketenatiewe en formant-gebaseerde TTS-metodes (Zen et al., 2019) en</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Hidden Markov Model (HMM)-gebaseerde sintese (Zen et al., 2019) vertoon beperkings</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in buigsaamheid, natuurlikheid en skaalbaarheid. In reaksie, moderne diep leer modelle</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sz w:val="14"/>
        </w:rPr>
        <w:t xml:space="preserve"> </w:t>
      </w:r>
      <w:r>
        <w:rPr>
          <w:rFonts w:ascii="TimesNewRomanPSMT" w:hAnsi="TimesNewRomanPSMT"/>
          <w:b w:val="0"/>
          <w:i w:val="0"/>
          <w:sz w:val="14"/>
        </w:rPr>
        <w:t>soos Tacotron (Wang et al., 2017), Tacotron 2 (Shen et al., 2018), FastSpeech (Ren)</w:t>
      </w:r>
    </w:p>
    <w:p>
      <w:pPr>
        <w:autoSpaceDN w:val="0"/>
        <w:autoSpaceDE w:val="0"/>
        <w:widowControl/>
        <w:spacing w:line="240" w:lineRule="exact" w:before="330" w:after="0"/>
        <w:ind w:left="1054" w:right="1054" w:firstLine="0"/>
        <w:jc w:val="both"/>
      </w:pPr>
    </w:p>
    <w:p>
      <w:pPr>
        <w:autoSpaceDN w:val="0"/>
        <w:autoSpaceDE w:val="0"/>
        <w:widowControl/>
        <w:spacing w:line="240" w:lineRule="exact" w:before="330" w:after="0"/>
        <w:ind w:left="1054" w:right="1054" w:firstLine="0"/>
        <w:jc w:val="both"/>
      </w:pPr>
    </w:p>
    <w:p>
      <w:pPr>
        <w:autoSpaceDN w:val="0"/>
        <w:autoSpaceDE w:val="0"/>
        <w:widowControl/>
        <w:spacing w:line="306" w:lineRule="exact" w:before="0" w:after="0"/>
        <w:ind w:left="0" w:right="0" w:firstLine="0"/>
        <w:jc w:val="center"/>
      </w:pPr>
      <w:r>
        <w:rPr>
          <w:rFonts w:ascii="TimesNewRomanPSMT" w:hAnsi="TimesNewRomanPSMT" w:eastAsia="TimesNewRomanPSMT"/>
          <w:b w:val="0"/>
          <w:i w:val="0"/>
          <w:color w:val="000000"/>
          <w:sz w:val="14"/>
          <w:u w:val="none"/>
        </w:rPr>
        <w:t>2 F. Skrywer en S. Skrywer</w:t>
      </w:r>
      <w:r>
        <w:rPr>
          <w:rFonts w:ascii="TimesNewRomanPSMT" w:hAnsi="TimesNewRomanPSMT" w:eastAsia="TimesNewRomanPSMT"/>
          <w:b w:val="0"/>
          <w:i w:val="0"/>
          <w:color w:val="000000"/>
          <w:sz w:val="14"/>
          <w:u w:val="none"/>
        </w:rPr>
      </w: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14"/>
          <w:u w:val="none"/>
        </w:rPr>
        <w:t>et al., 2019,2020), en VITS (Kim et al., 2021) het meer effektiewe weë oopgemaak deur direk uit data te leer. Voortbou op hierdie vooruitgang, fokus hierdie studie op die navorsing en ontwikkeling van 'n Viëtnamese TTS-stelsel wat daarop gemik is om stemkwaliteit en praktiese toepaslikheid te verbeter.</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0" w:right="0" w:firstLine="0"/>
        <w:jc w:val="center"/>
      </w:pPr>
      <w:r>
        <w:rPr>
          <w:rFonts w:ascii="TimesNewRomanPS" w:hAnsi="TimesNewRomanPS" w:eastAsia="TimesNewRomanPS"/>
          <w:b/>
          <w:i w:val="0"/>
          <w:color w:val="000000"/>
          <w:sz w:val="18"/>
          <w:u w:val="none"/>
        </w:rPr>
        <w:t>2 Verwante werk</w:t>
      </w:r>
      <w:r>
        <w:rPr>
          <w:rFonts w:ascii="TimesNewRomanPS" w:hAnsi="TimesNewRomanPS" w:eastAsia="TimesNewRomanPS"/>
          <w:b/>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 xml:space="preserve">Die Viëtnamese TTS-mark beskik oor verskeie prominente plaaslike platforms saam met internasionale oplossings.  FPT Smart Cloud Text to Speech, ontwikkel deur FPT Corporation, lewer 'n hoë-gehalte Viëtnamese TTS-diens deur 'n kommersiële API (Vu et al., 2025; Nguyen, 2023).  Dit pas diepleer-argitekture soos Tacotron (Wang et al., 2017) en Transformer-variante (Vaswani et al., 2017) toe tesame met vokoders soos WaveNet (Oord et al., 2016) en HiFi-GAN (Kong et al., 2020) om met diverse spoed, stem- en streeksbeheer te produseer.  Die stelsel word wyd gebruik in interaktiewe stemrespons (IVR), oudioboeke, virtuele assistente en aanlyn onderwys (Do, 2026).  Viettel AI Text-to-Speech bied 'n SaaS-gebaseerde oplossing wat vir Viëtnamees geoptimaliseer is (Vu et al., 2025; Nguyen, 2023), wat gebruik maak van gevorderde neurale modelle wat op grootskaalse, Viëtnamees-spesifieke spraakkorpora opgelei is om akkurate 206-uitspraak, en ekspressiewe, natuurlike uitspraak, oor- en uitspraak te verseker. al., 2016; Kong et al., 2020). Zalo AI Text to Speech, 'n produk van VNG Corporation, integreer diep NLP-modelle soos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PhoBERT(Nguyen&amp;Tuan, 2020) en BERT-styl vooropleiding (Devlin et al., 2019) met sintese-argitekture insluitend Tacotron, FastSpeech, en Rens et al., VITS, 20 et al. 2019; Kim et al., 2021), wat massiewe gebruikersdata gebruik om veelvuldige praatstyle te ondersteun (Vu et al., 2025).  Voice.vn spesialiseer in spraaksintese en stemkloning (Vu et al., 2025) deur gebruik te maak van end-tot-end-modelle soos VITS (Kim et al., 2021) en stemomskakelingstegnieke (Casanova et al., 2022; Chen et al., 2022), wat pasmaak vir stemafsluiting moontlik maak en pasmaak vir advertensies. podcasting en speletjies.  Google AI Studio verskaf 'n wolk-gebaseerde omgewing vir TTS via die Gemini-familie en Google Cloud Text-to-Speech (Vaswani et al., 2017; Ren et al., 2019), met veeltalige, natuurlike en konteks-aanpasbare stemgenerering (She et al., 20182., 20182).  EventLab bied TTS- en stemkloningnutsmiddels gebou op end-tot-end TTS (Wang et al., 2017) en luidsprekerinbeddingsmodelle (Chen et al., 2022; Kim et al., 2021; Casanova et al., 2022).  Oor die algemeen skuif die mark van </w:t>
        <w:br/>
        <w:t xml:space="preserve"> eenvoudige teksleesstelsels na intelligente kommunikasieplatforms, met sterk neigings in stemkloning (Jia et al., 2018) en multimodale KI.</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Die oopbrongemeenskap het 'n reeks Viëtnamese TTS-modelle bygedra.  VietTTS is 'n verteenwoordigende stelsel wat gebou is met enkodeerder-dekodeerder of transformator-argitekture (Wang et al., 2017; Vaswani et al., 2017; Ren et al., 2019), opgelei op noukeurig genormaliseerde Viëtnamese data (Do, 2026) om tone, saamgestelde woorde en sintydstrukture te hanteer, wat geskikte naby-tyd-strukture bied, wat werklike latensie bied. e-leer en oudioboekproduksie (Nguyen, 2023; Vu et al., 2025). NeuTTS-Air fokus op liggewig, doeltreffende afleiding, balansering van stemkwaliteit en spoed om op SVE's of laehulpbrontoestelle te werk (Ren et al., 2019,2020; Kim et al., 2021),</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2450" w:val="left"/>
          <w:tab w:pos="3302" w:val="left"/>
          <w:tab w:pos="4208" w:val="left"/>
          <w:tab w:pos="4898" w:val="left"/>
          <w:tab w:pos="6108" w:val="left"/>
          <w:tab w:pos="6516" w:val="left"/>
        </w:tabs>
        <w:autoSpaceDE w:val="0"/>
        <w:widowControl/>
        <w:spacing w:line="242" w:lineRule="exact" w:before="0" w:after="0"/>
        <w:ind w:left="1620" w:right="0" w:firstLine="0"/>
        <w:jc w:val="left"/>
      </w:pPr>
    </w:p>
    <w:p>
      <w:pPr>
        <w:autoSpaceDN w:val="0"/>
        <w:tabs>
          <w:tab w:pos="2626" w:val="left"/>
          <w:tab w:pos="3300" w:val="left"/>
          <w:tab w:pos="4054" w:val="left"/>
          <w:tab w:pos="4318" w:val="left"/>
          <w:tab w:pos="5260" w:val="left"/>
          <w:tab w:pos="6180" w:val="left"/>
          <w:tab w:pos="7192" w:val="left"/>
        </w:tabs>
        <w:autoSpaceDE w:val="0"/>
        <w:widowControl/>
        <w:spacing w:line="242" w:lineRule="exact" w:before="0" w:after="0"/>
        <w:ind w:left="1620" w:right="0" w:firstLine="0"/>
        <w:jc w:val="left"/>
      </w:pP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Bydrae Titel (verkort indien te lank) 3</w:t>
      </w:r>
      <w:r>
        <w:rPr>
          <w:color w:val="000000"/>
          <w:sz w:val="14"/>
          <w:u w:val="none"/>
        </w:rPr>
        <w:t xml:space="preserve"> </w:t>
      </w:r>
      <w:r>
        <w:rPr>
          <w:rFonts w:ascii="TimesNewRomanPSMT" w:hAnsi="TimesNewRomanPSMT" w:eastAsia="TimesNewRomanPSMT"/>
          <w:b w:val="0"/>
          <w:i w:val="0"/>
          <w:color w:val="000000"/>
          <w:sz w:val="14"/>
          <w:u w:val="none"/>
        </w:rPr>
      </w:r>
      <w:r>
        <w:rPr>
          <w:sz w:val="14"/>
        </w:rPr>
        <w:t xml:space="preserve"> </w:t>
      </w:r>
      <w:r>
        <w:rPr>
          <w:rFonts w:ascii="TimesNewRomanPSMT" w:hAnsi="TimesNewRomanPSMT"/>
          <w:b w:val="0"/>
          <w:i w:val="0"/>
          <w:sz w:val="14"/>
        </w:rPr>
        <w:t>geoptimaliseer vir chatbots, IVR en IoT-toepassings (Ping et al., 2017; Kalchbrenner et al., 2018). Kani‑TTS is 'n grootskaalse model met ongeveer 370 miljoen parameters, wat mik na hoë ekspressiwiteit en professionele klankgehalte (Kim et al., 2021; Casanova et al., 2022), wat uitblink in oudioboek- en mediaproduksie, maar kragtige GPU's benodig vir ontplooiing (Ren et al., 2019; Kall et al., 2019 et al. 2018). VieNeu‑TTS kombineer TTS met stemkloning, onttrek sprekerkenmerke via tegnieke soos AutoVC (Qian et al., 2019) en StarGAN-VC (Kameoka et al., 2018) en pas dit toe op gesintetiseerde spraak (Casanova et al., 2022; Jiabling et al., 2018, maar ook personalization), maar ook. etiese en veiligheidskwessies. ViXTTS dien as 'n demonstrasieprojek vir stemkloning, wat die tegnologie vir vinnige eksperimentering illustreer (Thinh, 2024; Kim et al., 2021). Valtec-TTS is 'n kompakte model wat geoptimaliseer is vir uiters hulpbronbeperkte omgewings soos ingebedde toestelle en IoT (Ren et al., 2019,2020; Ping et al., 2017; Kalchbrenner et al., 2018), wat voldoende duidelikheid lewer vir eenvoudige toepassingkennisgewing en leiding. Gesamentlik illustreer hierdie modelle die rypwording van Viëtnamese TTS, met gespesialiseerde takke wat wissel van hoëgehalte-sintese tot liggewig-ontplooiing en stemverpersoonliking.</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 xml:space="preserve">Datakwaliteit is die grondslag vir TTS. Die VLSP Speech Corpus is 'n groot, akademies georiënteerde datastel met multi-luidspreker opnames in gekontroleerde toestande (Ardila et al., 2020; Vu et al., 2025), ryklik geannoteer met fonetiese en streeksinligting (Yamagishi et al., 2019; Do, 2026). VIVOS is 'n kleiner oopbronkorpus (ongeveer 10–20 uur) van skoongeleesde spraak (Ardila et al., 2020; Ito &amp; Johnson, 2017), wat wyd gebruik word vir aanvanklike modellering ondanks beperkte emosionele en werklike diversiteit (Do, 2026). Kommersiële datastelle van FPT Corporation, Viettel Group en VNG Corporation is baie groter en meer gedetailleerd. FPT se datastel bestaan ​​uit honderde tot duisende ure se opnames van ateljeegehalte met volledige aantekeninge (Vu et al., 2025; Do, 2026; Oord et al., 2016; Kong et al., 2020). Viettel se data kombineer ateljee- en werklike wêreldopnames wat uiteenlopende aksente dek (Vu et al., 2025; Yamagishi et al., 2019; Jia et al., 2018; Do, 2026). Zalo se data trek voordeel uit sy breë gebruikersekosisteem, wat kontemporêre taalgebruik insluit (Vu et al.,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2025; Nguyen&amp;Tuan, 2020; Devlin et al., 2019; Kim et al., 2021). Daarbenewens bied VietTTS 'n basiese oop datastel met teks-klankpare wat voldoende is vir kleinskaalse eksperimente (Nguyen,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2023; Ito&amp;Johnson, 2017; Vu et al., 2025). In die algemeen bepaal datastelskaal, diversiteit, annotasiediepte en realisme TTS-prestasie direk.</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0" w:right="0" w:firstLine="0"/>
        <w:jc w:val="center"/>
      </w:pPr>
      <w:r>
        <w:rPr>
          <w:rFonts w:ascii="TimesNewRomanPS" w:hAnsi="TimesNewRomanPS" w:eastAsia="TimesNewRomanPS"/>
          <w:b/>
          <w:i w:val="0"/>
          <w:color w:val="000000"/>
          <w:sz w:val="18"/>
          <w:u w:val="none"/>
        </w:rPr>
        <w:t>3 Stelselontwerp</w:t>
      </w:r>
      <w:r>
        <w:rPr>
          <w:rFonts w:ascii="TimesNewRomanPS" w:hAnsi="TimesNewRomanPS" w:eastAsia="TimesNewRomanPS"/>
          <w:b/>
          <w:i w:val="0"/>
          <w:color w:val="000000"/>
          <w:sz w:val="18"/>
          <w:u w:val="none"/>
        </w:rPr>
      </w:r>
    </w:p>
    <w:p>
      <w:pPr>
        <w:autoSpaceDN w:val="0"/>
        <w:tabs>
          <w:tab w:pos="2440" w:val="left"/>
          <w:tab w:pos="2890" w:val="left"/>
          <w:tab w:pos="3556" w:val="left"/>
          <w:tab w:pos="4402" w:val="left"/>
          <w:tab w:pos="5638" w:val="left"/>
          <w:tab w:pos="6724" w:val="left"/>
        </w:tabs>
        <w:autoSpaceDE w:val="0"/>
        <w:widowControl/>
        <w:spacing w:line="242" w:lineRule="exact" w:before="0" w:after="0"/>
        <w:ind w:left="1620" w:right="0" w:firstLine="0"/>
        <w:jc w:val="left"/>
      </w:pPr>
      <w:r>
        <w:rPr>
          <w:rFonts w:ascii="TimesNewRomanPSMT" w:hAnsi="TimesNewRomanPSMT" w:eastAsia="TimesNewRomanPSMT"/>
          <w:b w:val="0"/>
          <w:i w:val="0"/>
          <w:color w:val="000000"/>
          <w:sz w:val="14"/>
          <w:u w:val="none"/>
        </w:rPr>
        <w:t>Vroeë TTS-stelsels het staatgemaak op aaneenlopende en formant-gebaseerde metodes, wat spraakeenhede saamstel of wiskundig modelleer, maar ly aan onbuigsaamheid, hoë databasiskoste en onnatuurlike prosodie (Zen et al., 2019).  Statistiese parametriese sintese met behulp van Hidden Markov Models (HMM) het buigsaamheid verbeter, maar steeds eentonige, minder natuurlike uitset gelewer (Zen et al., 2019).  Die koms van diep leer het end-tot-end-modelle gebring soos Tacotron en Tacotron 2, wat enkodeerder-dekodeerder-argitekture gebruik met aandag aan direk kaartteks na</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0" w:right="0" w:firstLine="0"/>
        <w:jc w:val="center"/>
      </w:pPr>
    </w:p>
    <w:p>
      <w:pPr>
        <w:autoSpaceDN w:val="0"/>
        <w:autoSpaceDE w:val="0"/>
        <w:widowControl/>
        <w:spacing w:line="242" w:lineRule="exact" w:before="0" w:after="0"/>
        <w:ind w:left="0" w:right="0" w:firstLine="0"/>
        <w:jc w:val="center"/>
      </w:pP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4 F. Skrywer en S. Skrywer</w:t>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 xml:space="preserve">mel‑spektrogramme, gevolg deur vokoders soos WaveNet (Oord et al., 2016) of WaveGlow (Prenger et al., 2019) om golfvorms te genereer (Wang et al., 2017; Shen et al., 2018; Vaswani et al., 2017). Hierdie modelle leer outomaties fonetiese en prosodiese kenmerke, wat aansienlik meer natuurlike spraak lewer, maar het beperkings in afleidingsspoed en aandagfoute. FastSpeech en FastSpeech 2 het hierdie kwessies aangespreek deur aandag tydens afleiding te verwyder en duur-, toonhoogte- en energievoorspellers te gebruik, om vinniger en meer stabiele sintese met eksplisiete prosodiebeheer te bewerkstellig (Ren et al., 2019,2020; Vaswani et al., 2017). Die jongste sprong, VITS, integreer 'n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variasie-outo-enkodeerder (Kingma&amp;Welling, 2014) met 'n generatiewe teenstandernetwerk (Goodfellow et al., 2014) om golfvorms direk vanaf teks in 'n enkele end-tot-end-raamwerk te genereer, wat 'n aparte vocoder uitskakel en gehalte en doeltreffendheid verder bevorder., nova20 et al. 2022). Stemkloning en multi-luidsprekersintese het ook gevorder, met behulp van luidsprekerinbeddings en styltekens om verpersoonliking en nulskoot-aanpassing moontlik te maak (Jia et al., 2018; Casanova et al., 2022; Chen et al., 2022; Wang et al., 2018). Boonop versag oordrag en self-toesig leermetodes (Baevski et al., 2020; Hsu et al., 2021; Radford et al., 2022) dataskaarste vir Viëtnamees deur vooropleiding op groot veeltalige korpus. ’n Moderne TTS-pyplyn sluit tipies data-insameling en voorverwerking, teksnormalisering (Do, 2026), modelopleiding en golfvormgenerering in (Wang et al., 2017; Kim et al., 2021).</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Die voorgestelde stelsel implementeer 'n emosionele TTS-pyplyn: invoerteks wat emosie-etikette bevat, word volgens emosie gesegmenteer, elke segment word via viXTTS gesintetiseer, en die gevolglike golfvorms word aaneengeskakel met stiltegapings om die finale oudiolêer te produseer</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2" w:lineRule="exact" w:before="0" w:after="0"/>
        <w:ind w:left="1620" w:right="0" w:firstLine="0"/>
        <w:jc w:val="left"/>
      </w:pPr>
    </w:p>
    <w:p>
      <w:pPr>
        <w:autoSpaceDN w:val="0"/>
        <w:autoSpaceDE w:val="0"/>
        <w:widowControl/>
        <w:spacing w:line="248" w:lineRule="exact" w:before="194" w:after="0"/>
        <w:ind w:left="0" w:right="0" w:firstLine="0"/>
        <w:jc w:val="center"/>
      </w:pP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4"/>
          <w:u w:val="none"/>
        </w:rPr>
        <w:t>Bydrae Titel (verkort indien te lank) 5</w:t>
      </w:r>
      <w:r>
        <w:rPr>
          <w:color w:val="000000"/>
          <w:sz w:val="14"/>
          <w:u w:val="none"/>
        </w:rPr>
        <w:t xml:space="preserve"> </w:t>
      </w:r>
      <w:r>
        <w:rPr>
          <w:rFonts w:ascii="TimesNewRomanPSMT" w:hAnsi="TimesNewRomanPSMT" w:eastAsia="TimesNewRomanPSMT"/>
          <w:b w:val="0"/>
          <w:i w:val="0"/>
          <w:color w:val="000000"/>
          <w:sz w:val="14"/>
          <w:u w:val="none"/>
        </w:rPr>
      </w:r>
    </w:p>
    <w:p>
      <w:pPr>
        <w:autoSpaceDN w:val="0"/>
        <w:tabs>
          <w:tab w:pos="1620" w:val="left"/>
        </w:tabs>
        <w:autoSpaceDE w:val="0"/>
        <w:widowControl/>
        <w:spacing w:line="332" w:lineRule="exact" w:before="336" w:after="0"/>
        <w:ind w:left="1054" w:right="0" w:firstLine="0"/>
        <w:jc w:val="left"/>
      </w:pPr>
      <w:r>
        <w:rPr>
          <w:color w:val="000000"/>
          <w:sz w:val="24"/>
          <w:u w:val="none"/>
        </w:rPr>
        <w:drawing>
          <wp:inline xmlns:a="http://schemas.openxmlformats.org/drawingml/2006/main" xmlns:pic="http://schemas.openxmlformats.org/drawingml/2006/picture">
            <wp:extent cx="4392930" cy="329437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2930" cy="3294379"/>
                    </a:xfrm>
                    <a:prstGeom prst="rect"/>
                  </pic:spPr>
                </pic:pic>
              </a:graphicData>
            </a:graphic>
          </wp:inline>
        </w:drawing>
      </w:r>
    </w:p>
    <w:p>
      <w:pPr>
        <w:autoSpaceDN w:val="0"/>
        <w:autoSpaceDE w:val="0"/>
        <w:widowControl/>
        <w:spacing w:line="266" w:lineRule="exact" w:before="206" w:after="0"/>
        <w:ind w:left="0" w:right="0" w:firstLine="0"/>
        <w:jc w:val="center"/>
      </w:pPr>
      <w:r>
        <w:rPr>
          <w:rFonts w:ascii="TimesNewRomanPS" w:hAnsi="TimesNewRomanPS" w:eastAsia="TimesNewRomanPS"/>
          <w:b/>
          <w:i w:val="0"/>
          <w:color w:val="000000"/>
          <w:sz w:val="14"/>
          <w:u w:val="none"/>
        </w:rPr>
        <w:t xml:space="preserve">Fig. 1. </w:t>
      </w:r>
      <w:r>
        <w:rPr>
          <w:rFonts w:ascii="TimesNewRomanPS" w:hAnsi="TimesNewRomanPS" w:eastAsia="TimesNewRomanPS"/>
          <w:b w:val="0"/>
          <w:i/>
          <w:color w:val="000000"/>
          <w:sz w:val="14"/>
          <w:u w:val="none"/>
        </w:rPr>
        <w:t>Werkvloei van die voorgestelde emosie-gebaseerde spraaksintesestelsel</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10" w:right="508" w:firstLine="0"/>
              <w:jc w:val="left"/>
            </w:pPr>
            <w:r>
              <w:rPr>
                <w:rFonts w:ascii="TimesNewRomanPSMT" w:hAnsi="TimesNewRomanPSMT" w:eastAsia="TimesNewRomanPSMT"/>
                <w:b w:val="0"/>
                <w:i w:val="0"/>
                <w:color w:val="000000"/>
                <w:sz w:val="20"/>
                <w:u w:val="none"/>
              </w:rPr>
              <w:t>In die eerste laag woord teksreël vir reële geskandeer. Wanneer 'n reël 'n emosie-etiket tussen hakies bevat, word die stelsel dit na 'n emosie-kaart-etiket deur 'n Viëtnamese sleutelwoordeboek te gebruik. Openvolgende reëls wat dieselfde emosie deel, word in 'n stuk (teks, emosie) gegroepeer. Vir sintese word die teks skoongemaak deur merkinoud te verwyder, spasies te normaliseer in Vietnamese ortografie te standaardiseer. In die tweede laag word elke deel na die viXTTS-inferensie-enjin oorgedra tesame met luidsprekermerke wat uit 'n verwysingsoudiolêer onttrek is. 'n Emosiekaart ken 'n toe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r>
        <w:trPr>
          <w:trHeight w:hRule="atLeast"/>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verwysing</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lêer</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per</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emosie</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(bv.</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neutraal</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112" w:right="0" w:firstLine="0"/>
              <w:jc w:val="left"/>
            </w:pPr>
            <w:r>
              <w:rPr>
                <w:rFonts w:ascii="TimesNewRomanPSMT" w:hAnsi="TimesNewRomanPSMT" w:eastAsia="TimesNewRomanPSMT"/>
                <w:b w:val="0"/>
                <w:i w:val="0"/>
                <w:color w:val="000000"/>
                <w:sz w:val="20"/>
                <w:u w:val="none"/>
              </w:rPr>
              <w:t>vrolik</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w:t>
            </w:r>
          </w:p>
        </w:tc>
      </w:tr>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0" w:right="508" w:firstLine="0"/>
              <w:jc w:val="left"/>
            </w:pPr>
            <w:r>
              <w:rPr>
                <w:rFonts w:ascii="TimesNewRomanPSMT" w:hAnsi="TimesNewRomanPSMT" w:eastAsia="TimesNewRomanPSMT"/>
                <w:b w:val="0"/>
                <w:i w:val="0"/>
                <w:color w:val="000000"/>
                <w:sz w:val="20"/>
                <w:u w:val="none"/>
              </w:rPr>
              <w:t>cheerful_ref.wav). Om konsekwente spreker-identiteit te handhaaf, word latente spreker-inbeddings een keer uit 'n gebruiker-verskafde stemmonster onttrek en oor alle stukke hergebruik (Jia et al., 2018; Casanova et al., 2022). Die sintese produseer 'n golfvorm vir elkeen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bl>
    <w:p>
      <w:pPr>
        <w:autoSpaceDN w:val="0"/>
        <w:autoSpaceDE w:val="0"/>
        <w:widowControl/>
        <w:spacing w:line="266" w:lineRule="exact" w:before="0" w:after="0"/>
        <w:ind w:left="0" w:right="0" w:firstLine="0"/>
        <w:jc w:val="center"/>
      </w:pPr>
    </w:p>
    <w:tbl>
      <w:tblPr>
        <w:tblW w:type="auto" w:w="0"/>
        <w:tblLayout w:type="autofit"/>
        <w:tblLook w:firstColumn="1" w:firstRow="1" w:lastColumn="0" w:lastRow="0" w:noHBand="0" w:noVBand="1" w:val="04A0"/>
        <w:tblInd w:w="1044.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 w:firstLine="0"/>
              <w:jc w:val="left"/>
            </w:pPr>
            <w:r>
              <w:rPr>
                <w:rFonts w:ascii="TimesNewRomanPSMT" w:hAnsi="TimesNewRomanPSMT" w:eastAsia="TimesNewRomanPSMT"/>
                <w:b w:val="0"/>
                <w:i w:val="0"/>
                <w:color w:val="000000"/>
                <w:sz w:val="20"/>
                <w:u w:val="none"/>
              </w:rPr>
              <w:t xml:space="preserve">EMOSIE_KAART = { vrolik→vrolik_ref.wav, opgewonde→opgewonde_ref.wav, kalm→kalm_ref.wav, hartseer→kalm_ref.wav, neutral→basisstem.wav } ALGORITME EmosioneleTTS(teks, ref_oudio, uitvoer.wav): </w:t>
              <w:br/>
              <w:t xml:space="preserve"> stukke ←verdeel_vir_emosie(teks) </w:t>
              <w:br/>
              <w:t xml:space="preserve"> AS stukke leeg is: FOUT </w:t>
              <w:br/>
              <w:t xml:space="preserve"> (latent, inbed) ←kry_spreker_latente (ref_oudio) </w:t>
              <w:br/>
              <w:t xml:space="preserve"> golfvorms ←[] </w:t>
              <w:br/>
              <w:t xml:space="preserve"> VIR ELKE (t, e) IN stukke: </w:t>
              <w:br/>
              <w:t xml:space="preserve">  w ←viXTTS.inference(t, latent, embed) </w:t>
              <w:br/>
              <w:t xml:space="preserve">  golfvorms.append(w) </w:t>
              <w:br/>
              <w:t xml:space="preserve"> uitvoer ←aaneenskakel golfvorms met 300 ms stilte tussen </w:t>
              <w:br/>
              <w:t xml:space="preserve">  STOOR uitset →output.wav</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266" w:lineRule="exact" w:before="0" w:after="0"/>
        <w:ind w:left="0" w:right="0" w:firstLine="0"/>
        <w:jc w:val="center"/>
      </w:pPr>
    </w:p>
    <w:tbl>
      <w:tblPr>
        <w:tblW w:type="auto" w:w="0"/>
        <w:tblLayout w:type="autofit"/>
        <w:tblLook w:firstColumn="1" w:firstRow="1" w:lastColumn="0" w:lastRow="0" w:noHBand="0" w:noVBand="1" w:val="04A0"/>
        <w:tblInd w:w="1046.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0" w:firstLine="0"/>
              <w:jc w:val="left"/>
            </w:pPr>
            <w:r>
              <w:rPr>
                <w:rFonts w:ascii="TimesNewRomanPSMT" w:hAnsi="TimesNewRomanPSMT" w:eastAsia="TimesNewRomanPSMT"/>
                <w:b w:val="0"/>
                <w:i w:val="0"/>
                <w:color w:val="000000"/>
                <w:sz w:val="20"/>
                <w:u w:val="none"/>
              </w:rPr>
              <w:t xml:space="preserve">FUNKSIE verdeel_vir_emosie(teks): </w:t>
              <w:br/>
              <w:t xml:space="preserve"> herhaal elke reël; as reël '(' → sluit huidige deel bevat, detect_emotion(lyn), begin nuwe deel </w:t>
              <w:br/>
              <w:t xml:space="preserve"> anders → voeg by huidige stuk </w:t>
              <w:br/>
              <w:t xml:space="preserve"> elke stuk: clean_text (verwyder merkers, normaliseer Viëtnamees) gee stukke terug</w:t>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266" w:lineRule="exact" w:before="0" w:after="0"/>
        <w:ind w:left="0" w:right="0" w:firstLine="0"/>
        <w:jc w:val="center"/>
      </w:pPr>
    </w:p>
    <w:p>
      <w:pPr>
        <w:autoSpaceDN w:val="0"/>
        <w:autoSpaceDE w:val="0"/>
        <w:widowControl/>
        <w:spacing w:line="266" w:lineRule="exact" w:before="0" w:after="0"/>
        <w:ind w:left="0" w:right="0" w:firstLine="0"/>
        <w:jc w:val="center"/>
      </w:pPr>
    </w:p>
    <w:p>
      <w:pPr>
        <w:autoSpaceDN w:val="0"/>
        <w:autoSpaceDE w:val="0"/>
        <w:widowControl/>
        <w:spacing w:line="266" w:lineRule="exact" w:before="0" w:after="0"/>
        <w:ind w:left="0" w:right="0" w:firstLine="0"/>
        <w:jc w:val="center"/>
      </w:pPr>
    </w:p>
    <w:p>
      <w:pPr>
        <w:autoSpaceDN w:val="0"/>
        <w:autoSpaceDE w:val="0"/>
        <w:widowControl/>
        <w:spacing w:line="266" w:lineRule="exact" w:before="0" w:after="0"/>
        <w:ind w:left="1054" w:right="0" w:firstLine="0"/>
        <w:jc w:val="left"/>
      </w:pPr>
    </w:p>
    <w:p>
      <w:pPr>
        <w:autoSpaceDN w:val="0"/>
        <w:autoSpaceDE w:val="0"/>
        <w:widowControl/>
        <w:spacing w:line="266" w:lineRule="exact" w:before="0" w:after="0"/>
        <w:ind w:left="1282" w:right="0" w:firstLine="0"/>
        <w:jc w:val="left"/>
      </w:pPr>
      <w:r>
        <w:rPr>
          <w:color w:val="000000"/>
          <w:sz w:val="2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127000"/>
                    </a:xfrm>
                    <a:prstGeom prst="rect"/>
                  </pic:spPr>
                </pic:pic>
              </a:graphicData>
            </a:graphic>
          </wp:anchor>
        </w:drawing>
      </w:r>
      <w:r>
        <w:rPr>
          <w:color w:val="000000"/>
          <w:sz w:val="2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8000" cy="381000"/>
                    </a:xfrm>
                    <a:prstGeom prst="rect"/>
                  </pic:spPr>
                </pic:pic>
              </a:graphicData>
            </a:graphic>
          </wp:anchor>
        </w:drawing>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16"/>
          <w:u w:val="none"/>
        </w:rPr>
        <w:t>6 F. Skrywer en S. Skrywer</w:t>
      </w:r>
      <w:r>
        <w:rPr>
          <w:rFonts w:ascii="TimesNewRomanPSMT" w:hAnsi="TimesNewRomanPSMT" w:eastAsia="TimesNewRomanPSMT"/>
          <w:b w:val="0"/>
          <w:i w:val="0"/>
          <w:color w:val="000000"/>
          <w:sz w:val="16"/>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14"/>
          <w:u w:val="none"/>
        </w:rPr>
        <w:t>stuk, soos geformaliseer in die volgende algoritme</w:t>
      </w:r>
      <w:r>
        <w:rPr>
          <w:sz w:val="14"/>
        </w:rPr>
        <w:t xml:space="preserve"> </w:t>
      </w:r>
      <w:r>
        <w:rPr>
          <w:rFonts w:ascii="TimesNewRomanPSMT" w:hAnsi="TimesNewRomanPSMT"/>
          <w:b w:val="0"/>
          <w:i w:val="0"/>
          <w:sz w:val="14"/>
        </w:rPr>
        <w:t>In die derde laag word die gegenereerde golfvorms opeenvolgend aaneengeskakel met 300 ms se stilte wat ingevoeg word om emosionele draaie te skei en abrupte snye te vermy. Die finale uitset word as 'n WAV-lêer gestoor. Hierdie ontwerp kombineer effektief sleutelwoord-gebaseerde emosieklassifikasie met voorwaardelike TTS en oudio-naverwerking, wat merkergedrewe, ekspressiewe spraaksintese moontlik maak deur 'n verenigde stemidentiteit te gebruik.</w:t>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r>
        <w:rPr>
          <w:rFonts w:ascii="TimesNewRomanPSMT" w:hAnsi="TimesNewRomanPSMT"/>
          <w:b w:val="0"/>
          <w:i w:val="0"/>
          <w:sz w:val="14"/>
        </w:rPr>
      </w:r>
    </w:p>
    <w:p>
      <w:pPr>
        <w:autoSpaceDN w:val="0"/>
        <w:autoSpaceDE w:val="0"/>
        <w:widowControl/>
        <w:spacing w:line="266" w:lineRule="exact" w:before="0" w:after="0"/>
        <w:ind w:left="0" w:right="0" w:firstLine="0"/>
        <w:jc w:val="center"/>
      </w:pPr>
      <w:r>
        <w:rPr>
          <w:rFonts w:ascii="TimesNewRomanPS" w:hAnsi="TimesNewRomanPS" w:eastAsia="TimesNewRomanPS"/>
          <w:b/>
          <w:i w:val="0"/>
          <w:color w:val="000000"/>
          <w:sz w:val="20"/>
          <w:u w:val="none"/>
        </w:rPr>
        <w:t>4 Evalueringsmetrieke</w:t>
      </w:r>
      <w:r>
        <w:rPr>
          <w:rFonts w:ascii="TimesNewRomanPS" w:hAnsi="TimesNewRomanPS" w:eastAsia="TimesNewRomanPS"/>
          <w:b/>
          <w:i w:val="0"/>
          <w:color w:val="000000"/>
          <w:sz w:val="20"/>
          <w:u w:val="none"/>
        </w:rPr>
      </w:r>
    </w:p>
    <w:p>
      <w:pPr>
        <w:sectPr>
          <w:pgSz w:w="11906" w:h="16838"/>
          <w:pgMar w:top="1440" w:right="1440" w:bottom="1440" w:left="1440" w:header="720" w:footer="720" w:gutter="0"/>
          <w:cols/>
          <w:docGrid w:linePitch="360"/>
        </w:sectPr>
      </w:pPr>
      <w:r>
        <w:rPr>
          <w:rFonts w:ascii="TimesNewRomanPSMT" w:hAnsi="TimesNewRomanPSMT" w:eastAsia="TimesNewRomanPSMT"/>
          <w:b w:val="0"/>
          <w:i w:val="0"/>
          <w:color w:val="000000"/>
          <w:sz w:val="14"/>
          <w:u w:val="none"/>
        </w:rPr>
        <w:t>Om die teks-na-spraak- en stemkloningstelsel volledig te assesseer, word twee komplementêre diep-leer-gebaseerde maatstawwe gebruik: sprekerooreenkoms via Resemblyzer, en waargenome spraakkwaliteit via DNSMOS.</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20" w:lineRule="exact" w:before="0" w:after="976"/>
        <w:ind w:left="0" w:right="0"/>
      </w:pPr>
      <w:r>
        <w:rPr>
          <w:rFonts w:ascii="TimesNewRomanPSMT" w:hAnsi="TimesNewRomanPSMT" w:eastAsia="TimesNewRomanPSMT"/>
          <w:b w:val="0"/>
          <w:i w:val="0"/>
          <w:color w:val="000000"/>
          <w:sz w:val="14"/>
          <w:u w:val="none"/>
        </w:rPr>
        <w:t>Resemblyzer is 'n neurale netwerk-gebaseerde instrument vir sprekerverifikasie en stemooreenkomsmeting (Mishra et al., 2023). In sy kern gebruik dit 'n sprekerverifikasie-enkodeerder wat opgelei is met 'n algemene end-tot-end verlies (Wan et al., 2018). Die operasionele beginsel is soos volg: eerstens, 'n insetuiting - óf die oorspronklike verwysingstem óf die gesintetiseerde gekloonde stem - word verwerk deur 'n diep neurale netwerk wat 'n vaste-dimensionele inbeddingsvektor onttrek (dikwels na verwys as 'n d-vektor of luidsprekerinbedding). Hierdie vektor is ontwerp om die unieke vokale identiteit van die spreker vas te vang, insluitend eienskappe soos timbre, toonhoogte kontoer en praatstyl, terwyl dit grootliks onveranderlik is van die linguistiese inhoud of die spesifieke woorde wat gespreek word. Met ander woorde, ongeag wat die persoon sê, moet die inbedding konsekwent bly vir dieselfde spreker en duidelik verskillend vir verskillende sprekers (Wan et al., 2018).</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4"/>
          <w:u w:val="none"/>
        </w:rPr>
        <w:t>Sodra die inbeddingsvektore vir beide die verwysingsoudio A (die oorspronklike spreker se stem) en die gesintetiseerde oudio B (die gekloonde stem) verkry is, word hul ooreenkoms gekwantifiseer deur die cosinus-ooreenkoms metriek te gebruik:</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330" w:after="0"/>
        <w:ind w:left="1054" w:right="1056" w:firstLine="0"/>
        <w:jc w:val="both"/>
      </w:pPr>
      <w:r>
        <w:rPr>
          <w:rFonts w:ascii="CambriaMath" w:hAnsi="CambriaMath" w:eastAsia="CambriaMath"/>
          <w:b w:val="0"/>
          <w:i w:val="0"/>
          <w:color w:val="000000"/>
          <w:sz w:val="20"/>
          <w:u w:val="none"/>
        </w:rPr>
        <w:t>d</w:t>
      </w:r>
    </w:p>
    <w:p>
      <w:pPr>
        <w:autoSpaceDN w:val="0"/>
        <w:tabs>
          <w:tab w:pos="1620" w:val="left"/>
        </w:tabs>
        <w:autoSpaceDE w:val="0"/>
        <w:widowControl/>
        <w:spacing w:line="332" w:lineRule="exact" w:before="336" w:after="0"/>
        <w:ind w:left="1054" w:right="0" w:firstLine="0"/>
        <w:jc w:val="left"/>
      </w:pPr>
      <w:r>
        <w:rPr>
          <w:rFonts w:ascii="CambriaMath" w:hAnsi="CambriaMath" w:eastAsia="CambriaMath"/>
          <w:b w:val="0"/>
          <w:i w:val="0"/>
          <w:color w:val="000000"/>
          <w:sz w:val="14"/>
          <w:u w:val="none"/>
        </w:rPr>
        <w:t xml:space="preserve">C </w:t>
      </w:r>
      <w:r>
        <w:rPr>
          <w:rFonts w:ascii="TimesNewRomanPSMT" w:hAnsi="TimesNewRomanPSMT" w:eastAsia="TimesNewRomanPSMT"/>
          <w:b w:val="0"/>
          <w:i w:val="0"/>
          <w:color w:val="000000"/>
          <w:sz w:val="14"/>
          <w:u w:val="none"/>
        </w:rPr>
        <w:t>o</w:t>
      </w:r>
      <w:r>
        <w:rPr>
          <w:rFonts w:ascii="CambriaMath" w:hAnsi="CambriaMath" w:eastAsia="CambriaMath"/>
          <w:b w:val="0"/>
          <w:i w:val="0"/>
          <w:color w:val="000000"/>
          <w:sz w:val="14"/>
          <w:u w:val="none"/>
        </w:rPr>
        <w:t xml:space="preserve">sineGelykvormigheid </w:t>
      </w:r>
      <w:r>
        <w:rPr>
          <w:rFonts w:ascii="CambriaMath" w:hAnsi="CambriaMath" w:eastAsia="CambriaMath"/>
          <w:b w:val="0"/>
          <w:i w:val="0"/>
          <w:color w:val="000000"/>
          <w:sz w:val="14"/>
          <w:u w:val="none"/>
        </w:rPr>
        <w:t xml:space="preserve">= </w:t>
      </w:r>
      <w:r>
        <w:rPr>
          <w:color w:val="000000"/>
          <w:sz w:val="14"/>
          <w:u w:val="none"/>
        </w:rPr>
        <w:t xml:space="preserve"> </w:t>
      </w:r>
      <w:r>
        <w:rPr>
          <w:rFonts w:ascii="CambriaMath" w:hAnsi="CambriaMath" w:eastAsia="CambriaMath"/>
          <w:b w:val="0"/>
          <w:i w:val="0"/>
          <w:color w:val="000000"/>
          <w:sz w:val="14"/>
          <w:u w:val="none"/>
        </w:rPr>
        <w:t xml:space="preserve">A, B= </w:t>
      </w:r>
      <w:r>
        <w:rPr>
          <w:color w:val="000000"/>
          <w:sz w:val="14"/>
          <w:u w:val="none"/>
        </w:rPr>
      </w:r>
      <w:r>
        <w:rPr>
          <w:color w:val="000000"/>
          <w:sz w:val="14"/>
          <w:u w:val="none"/>
        </w:rPr>
      </w:r>
      <w:r>
        <w:rPr>
          <w:rFonts w:ascii="CambriaMath" w:hAnsi="CambriaMath" w:eastAsia="CambriaMath"/>
          <w:b w:val="0"/>
          <w:i w:val="0"/>
          <w:color w:val="000000"/>
          <w:sz w:val="14"/>
          <w:u w:val="none"/>
        </w:rPr>
        <w:t>=</w:t>
      </w:r>
      <w:r>
        <w:rPr>
          <w:color w:val="000000"/>
          <w:sz w:val="14"/>
          <w:u w:val="none"/>
        </w:rPr>
        <w:t xml:space="preserve"> </w:t>
      </w:r>
      <w:r>
        <w:rPr>
          <w:color w:val="000000"/>
          <w:sz w:val="14"/>
          <w:u w:val="none"/>
        </w:rPr>
        <w:t xml:space="preserve"> </w:t>
      </w:r>
      <w:r>
        <w:rPr>
          <w:color w:val="000000"/>
          <w:sz w:val="14"/>
          <w:u w:val="none"/>
        </w:rPr>
        <w:t xml:space="preserve"> </w:t>
      </w:r>
      <w:r>
        <w:rPr>
          <w:rFonts w:ascii="CambriaMath" w:hAnsi="CambriaMath" w:eastAsia="CambriaMath"/>
          <w:b w:val="0"/>
          <w:i w:val="0"/>
          <w:color w:val="000000"/>
          <w:sz w:val="14"/>
          <w:u w:val="none"/>
        </w:rPr>
        <w:t xml:space="preserve">A </w:t>
      </w:r>
      <w:r>
        <w:rPr>
          <w:rFonts w:ascii="CambriaMath" w:hAnsi="CambriaMath" w:eastAsia="CambriaMath"/>
          <w:b w:val="0"/>
          <w:i w:val="0"/>
          <w:color w:val="000000"/>
          <w:sz w:val="14"/>
          <w:u w:val="none"/>
        </w:rPr>
        <w:t xml:space="preserve">⋅B = σ </w:t>
      </w: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14"/>
          <w:u w:val="none"/>
        </w:rPr>
        <w:t xml:space="preserve">A </w:t>
      </w:r>
      <w:r>
        <w:rPr>
          <w:rFonts w:ascii="CambriaMath" w:hAnsi="CambriaMath" w:eastAsia="CambriaMath"/>
          <w:b w:val="0"/>
          <w:i w:val="0"/>
          <w:color w:val="000000"/>
          <w:sz w:val="14"/>
          <w:u w:val="none"/>
        </w:rPr>
        <w:t xml:space="preserve">i B </w:t>
      </w:r>
      <w:r>
        <w:rPr>
          <w:rFonts w:ascii="CambriaMath" w:hAnsi="CambriaMath" w:eastAsia="CambriaMath"/>
          <w:b w:val="0"/>
          <w:i w:val="0"/>
          <w:color w:val="000000"/>
          <w:sz w:val="14"/>
          <w:u w:val="none"/>
        </w:rPr>
        <w:t>i</w:t>
      </w:r>
    </w:p>
    <w:p>
      <w:pPr>
        <w:autoSpaceDN w:val="0"/>
        <w:tabs>
          <w:tab w:pos="1282" w:val="left"/>
          <w:tab w:pos="1832" w:val="left"/>
          <w:tab w:pos="2388" w:val="left"/>
          <w:tab w:pos="2864" w:val="left"/>
          <w:tab w:pos="3088" w:val="left"/>
          <w:tab w:pos="4224" w:val="left"/>
          <w:tab w:pos="4272" w:val="left"/>
          <w:tab w:pos="5026" w:val="left"/>
          <w:tab w:pos="5748" w:val="left"/>
          <w:tab w:pos="5866" w:val="left"/>
          <w:tab w:pos="6728" w:val="left"/>
        </w:tabs>
        <w:autoSpaceDE w:val="0"/>
        <w:widowControl/>
        <w:spacing w:line="240" w:lineRule="exact" w:before="232" w:after="0"/>
        <w:ind w:left="1054" w:right="1008" w:firstLine="0"/>
        <w:jc w:val="left"/>
      </w:pPr>
      <w:r>
        <w:rPr>
          <w:rFonts w:ascii="CambriaMath" w:hAnsi="CambriaMath" w:eastAsia="CambriaMath"/>
          <w:b w:val="0"/>
          <w:i w:val="0"/>
          <w:color w:val="000000"/>
          <w:sz w:val="20"/>
          <w:u w:val="none"/>
        </w:rPr>
        <w:t xml:space="preserve">A B σ </w:t>
      </w:r>
      <w:r>
        <w:rPr>
          <w:color w:val="000000"/>
          <w:sz w:val="20"/>
          <w:u w:val="none"/>
        </w:rPr>
      </w:r>
      <w:r>
        <w:rPr>
          <w:rFonts w:ascii="CambriaMath" w:hAnsi="CambriaMath" w:eastAsia="CambriaMath"/>
          <w:b w:val="0"/>
          <w:i w:val="0"/>
          <w:color w:val="000000"/>
          <w:sz w:val="20"/>
          <w:u w:val="none"/>
        </w:rPr>
      </w:r>
      <w:r>
        <w:rPr>
          <w:color w:val="000000"/>
          <w:sz w:val="20"/>
          <w:u w:val="none"/>
        </w:rPr>
      </w:r>
      <w:r>
        <w:rPr>
          <w:rFonts w:ascii="CambriaMath" w:hAnsi="CambriaMath" w:eastAsia="CambriaMath"/>
          <w:b w:val="0"/>
          <w:i w:val="0"/>
          <w:color w:val="000000"/>
          <w:sz w:val="20"/>
          <w:u w:val="none"/>
        </w:rPr>
      </w:r>
      <w:r>
        <w:rPr>
          <w:color w:val="000000"/>
          <w:sz w:val="20"/>
          <w:u w:val="none"/>
        </w:rPr>
      </w:r>
      <w:r>
        <w:rPr>
          <w:color w:val="000000"/>
          <w:sz w:val="20"/>
          <w:u w:val="none"/>
        </w:rPr>
      </w:r>
      <w:r>
        <w:rPr>
          <w:color w:val="000000"/>
          <w:sz w:val="20"/>
          <w:u w:val="none"/>
        </w:rPr>
      </w:r>
      <w:r>
        <w:rPr>
          <w:rFonts w:ascii="CambriaMath" w:hAnsi="CambriaMath" w:eastAsia="CambriaMath"/>
          <w:b w:val="0"/>
          <w:i w:val="0"/>
          <w:color w:val="000000"/>
          <w:sz w:val="20"/>
          <w:u w:val="none"/>
        </w:rPr>
        <w:t>d</w:t>
        <w:br/>
      </w:r>
      <w:r>
        <w:rPr>
          <w:color w:val="000000"/>
          <w:sz w:val="20"/>
          <w:u w:val="none"/>
        </w:rPr>
      </w:r>
    </w:p>
    <w:p>
      <w:pPr>
        <w:sectPr>
          <w:pgSz w:w="11906" w:h="16838"/>
          <w:pgMar w:top="1198" w:right="1440" w:bottom="1440" w:left="1440" w:header="720" w:footer="720" w:gutter="0"/>
          <w:cols/>
          <w:docGrid w:linePitch="360"/>
        </w:sectPr>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14"/>
          <w:u w:val="none"/>
        </w:rPr>
        <w:t>A</w:t>
      </w:r>
      <w:r>
        <w:rPr>
          <w:rFonts w:ascii="CambriaMath" w:hAnsi="CambriaMath" w:eastAsia="CambriaMath"/>
          <w:b w:val="0"/>
          <w:i w:val="0"/>
          <w:color w:val="000000"/>
          <w:sz w:val="14"/>
          <w:u w:val="none"/>
        </w:rPr>
        <w:t xml:space="preserve"> i </w:t>
      </w:r>
      <w:r>
        <w:rPr>
          <w:color w:val="000000"/>
          <w:sz w:val="14"/>
          <w:u w:val="none"/>
        </w:rPr>
      </w:r>
      <w:r>
        <w:rPr>
          <w:color w:val="000000"/>
          <w:sz w:val="14"/>
          <w:u w:val="none"/>
        </w:rPr>
      </w:r>
      <w:r>
        <w:rPr>
          <w:rFonts w:ascii="CambriaMath" w:hAnsi="CambriaMath" w:eastAsia="CambriaMath"/>
          <w:b w:val="0"/>
          <w:i w:val="0"/>
          <w:color w:val="000000"/>
          <w:sz w:val="14"/>
          <w:u w:val="none"/>
        </w:rPr>
      </w:r>
      <w:r>
        <w:rPr>
          <w:rFonts w:ascii="CambriaMath" w:hAnsi="CambriaMath" w:eastAsia="CambriaMath"/>
          <w:b w:val="0"/>
          <w:i w:val="0"/>
          <w:color w:val="000000"/>
          <w:sz w:val="14"/>
          <w:u w:val="none"/>
        </w:rPr>
        <w:t xml:space="preserve">2 σ </w:t>
      </w:r>
      <w:r>
        <w:rPr>
          <w:color w:val="000000"/>
          <w:sz w:val="14"/>
          <w:u w:val="none"/>
        </w:rPr>
      </w:r>
      <w:r>
        <w:rPr>
          <w:color w:val="000000"/>
          <w:sz w:val="14"/>
          <w:u w:val="none"/>
        </w:rPr>
      </w:r>
      <w:r>
        <w:rPr>
          <w:color w:val="000000"/>
          <w:sz w:val="14"/>
          <w:u w:val="none"/>
        </w:rPr>
      </w:r>
      <w:r>
        <w:rPr>
          <w:color w:val="000000"/>
          <w:sz w:val="14"/>
          <w:u w:val="none"/>
        </w:rPr>
      </w:r>
      <w:r>
        <w:rPr>
          <w:rFonts w:ascii="CambriaMath" w:hAnsi="CambriaMath" w:eastAsia="CambriaMath"/>
          <w:b w:val="0"/>
          <w:i w:val="0"/>
          <w:color w:val="000000"/>
          <w:sz w:val="14"/>
          <w:u w:val="none"/>
        </w:rPr>
        <w:t>d</w:t>
      </w:r>
    </w:p>
    <w:p>
      <w:pPr>
        <w:autoSpaceDN w:val="0"/>
        <w:autoSpaceDE w:val="0"/>
        <w:widowControl/>
        <w:spacing w:line="220" w:lineRule="exact" w:before="0" w:after="976"/>
        <w:ind w:left="0" w:right="0"/>
      </w:pP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20"/>
          <w:u w:val="none"/>
        </w:rPr>
        <w:t xml:space="preserve">i </w:t>
        <w:br/>
        <w:t xml:space="preserve"> 2</w:t>
      </w:r>
      <w:r>
        <w:rPr>
          <w:color w:val="000000"/>
          <w:sz w:val="20"/>
          <w:u w:val="none"/>
        </w:rPr>
      </w:r>
      <w:r>
        <w:rPr>
          <w:color w:val="000000"/>
          <w:sz w:val="20"/>
          <w:u w:val="none"/>
        </w:rPr>
      </w:r>
      <w:r>
        <w:rPr>
          <w:rFonts w:ascii="CambriaMath" w:hAnsi="CambriaMath" w:eastAsia="CambriaMath"/>
          <w:b w:val="0"/>
          <w:i w:val="0"/>
          <w:color w:val="000000"/>
          <w:sz w:val="20"/>
          <w:u w:val="none"/>
        </w:rPr>
      </w: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4"/>
          <w:u w:val="none"/>
        </w:rPr>
        <w:t>Die cosinus-ooreenkoms meet die hoek tussen die twee vektore in die hoë-dimensionele inbeddingsruimte. ’n Waarde naby aan 1 dui aan dat die vektore in byna dieselfde rigting wys, wat beteken dat die twee stemme as hoogs eenders of amper identies in terme van sprekeridentiteit beskou word (Jia et al., 2018; Wan et al., 2018).   Omgekeerd, 'n waarde naby aan 0 of negatief sal verskillende sprekers voorstel.  Resemblyzer verskaf dus 'n objektiewe, outomatiese en reproduceerbare maatstaf om te evalueer hoe getrou 'n stemkloningstelsel die oorspronklike spreker se vokale eienskappe bewaar.</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14"/>
          <w:u w:val="none"/>
        </w:rPr>
        <w:t>DNSMOS (Deep Noise Suppression Mean Opinion Score) is 'n nie-indringende, diep leer-gebaseerde maatstaf wat ontwerp is om die perseptuele kwaliteit van spraakseine te skat sonder om 'n skoon verwysing oudiosein te vereis (Reddy et al., 2021). Dit maak dit</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54" w:firstLine="228"/>
        <w:jc w:val="both"/>
      </w:pPr>
    </w:p>
    <w:p>
      <w:pPr>
        <w:autoSpaceDN w:val="0"/>
        <w:tabs>
          <w:tab w:pos="1620" w:val="left"/>
        </w:tabs>
        <w:autoSpaceDE w:val="0"/>
        <w:widowControl/>
        <w:spacing w:line="332" w:lineRule="exact" w:before="336" w:after="0"/>
        <w:ind w:left="1054" w:right="0" w:firstLine="0"/>
        <w:jc w:val="left"/>
      </w:pPr>
    </w:p>
    <w:p>
      <w:pPr>
        <w:autoSpaceDN w:val="0"/>
        <w:tabs>
          <w:tab w:pos="2656" w:val="left"/>
          <w:tab w:pos="3916" w:val="left"/>
          <w:tab w:pos="4512" w:val="left"/>
          <w:tab w:pos="5450" w:val="left"/>
          <w:tab w:pos="5844" w:val="left"/>
          <w:tab w:pos="6694" w:val="left"/>
          <w:tab w:pos="7276" w:val="left"/>
          <w:tab w:pos="7816" w:val="left"/>
        </w:tabs>
        <w:autoSpaceDE w:val="0"/>
        <w:widowControl/>
        <w:spacing w:line="240" w:lineRule="exact" w:before="232" w:after="0"/>
        <w:ind w:left="1054" w:right="1008" w:firstLine="0"/>
        <w:jc w:val="left"/>
      </w:pPr>
      <w:r>
        <w:rPr>
          <w:rFonts w:ascii="TimesNewRomanPSMT" w:hAnsi="TimesNewRomanPSMT" w:eastAsia="TimesNewRomanPSMT"/>
          <w:b w:val="0"/>
          <w:i w:val="0"/>
          <w:color w:val="000000"/>
          <w:sz w:val="16"/>
          <w:u w:val="none"/>
        </w:rPr>
        <w:t>8 F. Skrywer en S. Skrywer</w:t>
      </w:r>
      <w:r>
        <w:rPr>
          <w:rFonts w:ascii="TimesNewRomanPSMT" w:hAnsi="TimesNewRomanPSMT" w:eastAsia="TimesNewRomanPSMT"/>
          <w:b w:val="0"/>
          <w:i w:val="0"/>
          <w:color w:val="000000"/>
          <w:sz w:val="16"/>
          <w:u w:val="none"/>
        </w:rPr>
      </w:r>
    </w:p>
    <w:p>
      <w:pPr>
        <w:sectPr>
          <w:pgSz w:w="11906" w:h="16838"/>
          <w:pgMar w:top="1198" w:right="1440" w:bottom="1440" w:left="1440" w:header="720" w:footer="720" w:gutter="0"/>
          <w:cols/>
          <w:docGrid w:linePitch="360"/>
        </w:sectPr>
      </w:pPr>
      <w:r>
        <w:rPr>
          <w:rFonts w:ascii="TimesNewRomanPS" w:hAnsi="TimesNewRomanPS" w:eastAsia="TimesNewRomanPS"/>
          <w:b/>
          <w:i w:val="0"/>
          <w:color w:val="000000"/>
          <w:sz w:val="16"/>
          <w:u w:val="none"/>
        </w:rPr>
        <w:t>5 Eksperimente en resultate</w:t>
      </w:r>
      <w:r>
        <w:rPr>
          <w:rFonts w:ascii="TimesNewRomanPS" w:hAnsi="TimesNewRomanPS" w:eastAsia="TimesNewRomanPS"/>
          <w:b/>
          <w:i w:val="0"/>
          <w:color w:val="000000"/>
          <w:sz w:val="16"/>
          <w:u w:val="none"/>
        </w:rPr>
      </w:r>
    </w:p>
    <w:p>
      <w:pPr>
        <w:autoSpaceDN w:val="0"/>
        <w:autoSpaceDE w:val="0"/>
        <w:widowControl/>
        <w:spacing w:line="220" w:lineRule="exact" w:before="0" w:after="976"/>
        <w:ind w:left="0" w:right="0"/>
      </w:pPr>
      <w:r>
        <w:rPr>
          <w:rFonts w:ascii="TimesNewRomanPS" w:hAnsi="TimesNewRomanPS" w:eastAsia="TimesNewRomanPS"/>
          <w:b/>
          <w:i w:val="0"/>
          <w:color w:val="000000"/>
          <w:sz w:val="14"/>
          <w:u w:val="none"/>
        </w:rPr>
        <w:t xml:space="preserve">Opleiding </w:t>
      </w:r>
      <w:r>
        <w:rPr>
          <w:rFonts w:ascii="TimesNewRomanPS" w:hAnsi="TimesNewRomanPS" w:eastAsia="TimesNewRomanPS"/>
          <w:b/>
          <w:i w:val="0"/>
          <w:color w:val="000000"/>
          <w:sz w:val="14"/>
          <w:u w:val="none"/>
        </w:rPr>
      </w:r>
      <w:r>
        <w:rPr>
          <w:rFonts w:ascii="TimesNewRomanPSMT" w:hAnsi="TimesNewRomanPSMT" w:eastAsia="TimesNewRomanPSMT"/>
          <w:b w:val="0"/>
          <w:i w:val="0"/>
          <w:color w:val="000000"/>
          <w:sz w:val="14"/>
          <w:u w:val="none"/>
        </w:rPr>
        <w:t xml:space="preserve">. </w:t>
      </w:r>
      <w:r>
        <w:rPr>
          <w:rFonts w:ascii="TimesNewRomanPSMT" w:hAnsi="TimesNewRomanPSMT" w:eastAsia="TimesNewRomanPSMT"/>
          <w:b w:val="0"/>
          <w:i w:val="0"/>
          <w:color w:val="000000"/>
          <w:sz w:val="14"/>
          <w:u w:val="none"/>
        </w:rPr>
        <w:t>datastel. Die stelsel is opgelei en geëvalueer deur gebruik te maak van die viVoice-korpus (Le, 2024), die eerste publiek beskikbare grootskaalse Viëtnamese spraakdatastel wat ontwerp is vir veelsprekende teks-na-spraak. viVoice bestaan ​​uit meer as 1 000 uur se skoongemaakte oudio en gepaardgaande transkripsies afkomstig van 186 YouTube-kanale. Alle oudiomonsters word verskaf teen 'n 24 kHz-steekproeftempo in WAV-formaat, met agtergrondmusiek en geraas verwyder om skoon opleidingsdata te verseker. Die datastel dek 'n wye verskeidenheid luidsprekers, aksente (Noordelike, Sentraal, Suidelike) en praatstyle, wat dit veral geskik maak vir die opleiding van robuuste multi-luidspreker Viëtnamese TTS-modelle soos XTTS-v2. viVoice word vrygestel onder die CC BY‑NC‑SA 4.0-lisensie.</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4"/>
          <w:u w:val="none"/>
        </w:rPr>
        <w:t>Die voorverwerkingspyplyn is ontwerp om wisselvalligheid uit te skakel wat sprekerooreenkoms kan verswak. Stappe het ingesluit: (i) handmatige verifikasie van transkripsie-akkuraatheid om perfekte belyning te verseker; (ii) teksnormalisering met behulp van VietNormalizer (Do, 2026) om afkortings uit te brei, nommers na woorde om te skakel en leestekens te standaardiseer; (iii) fonetiese belyning met 'n gedwonge belyning wat op Viëtnamees opgelei is, wat foon-gebaseerde raamwerk lewer; stilte-stroop aan die begin en einde van uitsprake om leidende/sluitende stilte te verwyder; en (v) hardheid normalisering tot -23 LUFS om konsekwente waargenome volume oor sprekers te handhaaf. Van kardinale belang, vir elke spreker is 'n hoë-gehalte luidspreker inbedding onttrek met behulp van die Resemblyzer enkodeerder en gestoor as 'n verwysing vektor. Die kondisionering van die generatiewe model op hierdie inbeddings tydens opleiding moedig die dekodeerder aan om sprekeridentiteit te bewaar, wat direk bygedra het tot die hoë cosinus-ooreenkomstellings (0.90+) wat in die eksperimente waargeneem is.</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330" w:after="0"/>
        <w:ind w:left="1054" w:right="1054" w:firstLine="0"/>
        <w:jc w:val="both"/>
      </w:pPr>
      <w:r>
        <w:rPr>
          <w:rFonts w:ascii="TimesNewRomanPS" w:hAnsi="TimesNewRomanPS" w:eastAsia="TimesNewRomanPS"/>
          <w:b/>
          <w:i w:val="0"/>
          <w:color w:val="000000"/>
          <w:sz w:val="14"/>
          <w:u w:val="none"/>
        </w:rPr>
        <w:t xml:space="preserve">Eksperimentele </w:t>
      </w:r>
      <w:r>
        <w:rPr>
          <w:rFonts w:ascii="TimesNewRomanPS" w:hAnsi="TimesNewRomanPS" w:eastAsia="TimesNewRomanPS"/>
          <w:b/>
          <w:i w:val="0"/>
          <w:color w:val="000000"/>
          <w:sz w:val="14"/>
          <w:u w:val="none"/>
        </w:rPr>
      </w:r>
      <w:r>
        <w:rPr>
          <w:rFonts w:ascii="TimesNewRomanPSMT" w:hAnsi="TimesNewRomanPSMT" w:eastAsia="TimesNewRomanPSMT"/>
          <w:b w:val="0"/>
          <w:i w:val="0"/>
          <w:color w:val="000000"/>
          <w:sz w:val="14"/>
          <w:u w:val="none"/>
        </w:rPr>
        <w:t>opstelling. Die evaluering is uitgevoer op 'n GIGABYTE G5 GD-skootrekenaar, 'n speletjie-georiënteerde notaboek waarvan die spesifikasies in Tabel 1 gelys word. Die stelsel het veral 'n toegewyde NVIDIA GeForce RTX GPU (Ampere-argitektuur, diskreet) saam met 'n geïntegreerde Intel UHD-grafiese adapter. Die PyTorch-omgewing wat vir afleidings gebruik is, was egter slegs 'n SVE-bou, wat beteken dat alle sintese-bewerkings op die Intel Core i5-11400H SVE gehardloop het sonder GPU-versnelling.  Hierdie opstelling weerspieël 'n algemene ontplooiingscenario waar CUDA-bestuurders of biblioteke nie geïnstalleer is nie, of waar die stelsel versoenbaarheid bo maksimum spoed prioritiseer.</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14"/>
          <w:u w:val="none"/>
        </w:rPr>
        <w:t>Tabel 1. Stelselkonfigurasie van die toetsplatform.</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Komponent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TimesNewRomanPSMT" w:hAnsi="TimesNewRomanPSMT" w:eastAsia="TimesNewRomanPSMT"/>
                <w:b w:val="0"/>
                <w:i w:val="0"/>
                <w:color w:val="000000"/>
                <w:sz w:val="18"/>
                <w:u w:val="none"/>
              </w:rPr>
              <w:t>Spesifikasie</w:t>
            </w:r>
          </w:p>
        </w:tc>
      </w:tr>
      <w:tr>
        <w:trPr>
          <w:trHeight w:hRule="atLeast"/>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TimesNewRomanPSMT" w:hAnsi="TimesNewRomanPSMT" w:eastAsia="TimesNewRomanPSMT"/>
                <w:b w:val="0"/>
                <w:i w:val="0"/>
                <w:color w:val="000000"/>
                <w:sz w:val="18"/>
                <w:u w:val="none"/>
              </w:rPr>
              <w:t xml:space="preserve">Model </w:t>
              <w:br/>
              <w:t xml:space="preserve">ALMAL </w:t>
              <w:br/>
              <w:t xml:space="preserve">RAM </w:t>
              <w:br/>
              <w:t xml:space="preserve">GPU </w:t>
              <w:br/>
              <w:t>Diskrete GPU-bedryfstelsel</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TimesNewRomanPSMT" w:hAnsi="TimesNewRomanPSMT" w:eastAsia="TimesNewRomanPSMT"/>
                <w:b w:val="0"/>
                <w:i w:val="0"/>
                <w:color w:val="000000"/>
                <w:sz w:val="18"/>
                <w:u w:val="none"/>
              </w:rPr>
              <w:t xml:space="preserve">GIGABYTE G5 GD </w:t>
              <w:br/>
              <w:t xml:space="preserve">Intel Core i5‑11400H (8 kerne, 12 drade, 2,70 GHz basis) </w:t>
              <w:br/>
              <w:t xml:space="preserve">16 GB DDR4 (15,8 GB bruikbaar) </w:t>
              <w:br/>
              <w:t xml:space="preserve">Intel UHD-grafika (geïntegreer) </w:t>
              <w:br/>
              <w:t xml:space="preserve">NVIDIA GeForce RTX (Ampere, toegewyd) </w:t>
              <w:br/>
              <w:t>Windows 11 Huis Enkeltaal</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p>
        </w:tc>
      </w:tr>
    </w:tbl>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7790" w:val="left"/>
        </w:tabs>
        <w:autoSpaceDE w:val="0"/>
        <w:widowControl/>
        <w:spacing w:line="242" w:lineRule="exact" w:before="0" w:after="0"/>
        <w:ind w:left="4328" w:right="0" w:firstLine="0"/>
        <w:jc w:val="left"/>
      </w:pPr>
    </w:p>
    <w:p>
      <w:pPr>
        <w:autoSpaceDN w:val="0"/>
        <w:autoSpaceDE w:val="0"/>
        <w:widowControl/>
        <w:spacing w:line="240" w:lineRule="auto" w:before="312" w:after="0"/>
        <w:ind w:left="0" w:right="0" w:firstLine="0"/>
        <w:jc w:val="center"/>
      </w:pPr>
      <w:r>
        <w:rPr>
          <w:rFonts w:ascii="TimesNewRomanPSMT" w:hAnsi="TimesNewRomanPSMT" w:eastAsia="TimesNewRomanPSMT"/>
          <w:b w:val="0"/>
          <w:i w:val="0"/>
          <w:color w:val="000000"/>
          <w:sz w:val="14"/>
          <w:u w:val="none"/>
        </w:rPr>
        <w:t>Bydrae Titel (verkort indien te lank) 9</w:t>
      </w:r>
      <w:r>
        <w:rPr>
          <w:color w:val="000000"/>
          <w:sz w:val="14"/>
          <w:u w:val="none"/>
        </w:rPr>
        <w:t xml:space="preserve"> </w:t>
      </w:r>
      <w:r>
        <w:rPr>
          <w:rFonts w:ascii="TimesNewRomanPSMT" w:hAnsi="TimesNewRomanPSMT" w:eastAsia="TimesNewRomanPSMT"/>
          <w:b w:val="0"/>
          <w:i w:val="0"/>
          <w:color w:val="000000"/>
          <w:sz w:val="14"/>
          <w:u w:val="none"/>
        </w:rPr>
      </w:r>
    </w:p>
    <w:p>
      <w:pPr>
        <w:autoSpaceDN w:val="0"/>
        <w:autoSpaceDE w:val="0"/>
        <w:widowControl/>
        <w:spacing w:line="250" w:lineRule="exact" w:before="252" w:after="150"/>
        <w:ind w:left="0" w:right="0" w:firstLine="0"/>
        <w:jc w:val="center"/>
      </w:pPr>
      <w:r>
        <w:rPr>
          <w:rFonts w:ascii="TimesNewRomanPSMT" w:hAnsi="TimesNewRomanPSMT" w:eastAsia="TimesNewRomanPSMT"/>
          <w:b w:val="0"/>
          <w:i w:val="0"/>
          <w:color w:val="000000"/>
          <w:sz w:val="18"/>
          <w:u w:val="none"/>
        </w:rPr>
        <w:t>(Bou 26200)</w:t>
      </w:r>
    </w:p>
    <w:tbl>
      <w:tblPr>
        <w:tblW w:type="auto" w:w="0"/>
        <w:tblLayout w:type="autofit"/>
        <w:tblLook w:firstColumn="1" w:firstRow="1" w:lastColumn="0" w:lastRow="0" w:noHBand="0" w:noVBand="1" w:val="04A0"/>
        <w:tblInd w:w="1930.0" w:type="dxa"/>
      </w:tblPr>
      <w:tblGrid>
        <w:gridCol w:w="4513"/>
        <w:gridCol w:w="4513"/>
      </w:tblGrid>
      <w:tr>
        <w:trPr>
          <w:trHeight w:hRule="atLeast"/>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TimesNewRomanPSMT" w:hAnsi="TimesNewRomanPSMT" w:eastAsia="TimesNewRomanPSMT"/>
                <w:b w:val="0"/>
                <w:i w:val="0"/>
                <w:color w:val="000000"/>
                <w:sz w:val="18"/>
                <w:u w:val="none"/>
              </w:rPr>
              <w:t>Afleiding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TimesNewRomanPSMT" w:hAnsi="TimesNewRomanPSMT" w:eastAsia="TimesNewRomanPSMT"/>
                <w:b w:val="0"/>
                <w:i w:val="0"/>
                <w:color w:val="000000"/>
                <w:sz w:val="18"/>
                <w:u w:val="none"/>
              </w:rPr>
              <w:t>PyTorch Slegs SVE, 4 drade</w:t>
            </w:r>
          </w:p>
        </w:tc>
      </w:tr>
    </w:tbl>
    <w:p>
      <w:pPr>
        <w:autoSpaceDN w:val="0"/>
        <w:autoSpaceDE w:val="0"/>
        <w:widowControl/>
        <w:spacing w:line="20" w:lineRule="exact" w:before="0" w:after="0"/>
        <w:ind w:left="0" w:right="0"/>
      </w:pPr>
      <w:r>
        <w:rPr>
          <w:rFonts w:ascii="TimesNewRomanPS" w:hAnsi="TimesNewRomanPS" w:eastAsia="TimesNewRomanPS"/>
          <w:b/>
          <w:i w:val="0"/>
          <w:color w:val="000000"/>
          <w:sz w:val="14"/>
          <w:u w:val="none"/>
        </w:rPr>
        <w:t xml:space="preserve">Stemooreenkoms en spraakkwaliteit. </w:t>
      </w:r>
      <w:r>
        <w:rPr>
          <w:rFonts w:ascii="TimesNewRomanPS" w:hAnsi="TimesNewRomanPS" w:eastAsia="TimesNewRomanPS"/>
          <w:b/>
          <w:i w:val="0"/>
          <w:color w:val="000000"/>
          <w:sz w:val="14"/>
          <w:u w:val="none"/>
        </w:rPr>
      </w:r>
      <w:r>
        <w:rPr>
          <w:rFonts w:ascii="TimesNewRomanPS" w:hAnsi="TimesNewRomanPS" w:eastAsia="TimesNewRomanPS"/>
          <w:b/>
          <w:i w:val="0"/>
          <w:color w:val="000000"/>
          <w:sz w:val="14"/>
          <w:u w:val="none"/>
        </w:rPr>
      </w:r>
      <w:r>
        <w:rPr>
          <w:rFonts w:ascii="TimesNewRomanPS" w:hAnsi="TimesNewRomanPS" w:eastAsia="TimesNewRomanPS"/>
          <w:b/>
          <w:i w:val="0"/>
          <w:color w:val="000000"/>
          <w:sz w:val="14"/>
          <w:u w:val="none"/>
        </w:rPr>
      </w:r>
      <w:r>
        <w:rPr>
          <w:rFonts w:ascii="TimesNewRomanPS" w:hAnsi="TimesNewRomanPS" w:eastAsia="TimesNewRomanPS"/>
          <w:b/>
          <w:i w:val="0"/>
          <w:color w:val="000000"/>
          <w:sz w:val="14"/>
          <w:u w:val="none"/>
        </w:rPr>
      </w:r>
      <w:r>
        <w:rPr>
          <w:rFonts w:ascii="TimesNewRomanPSMT" w:hAnsi="TimesNewRomanPSMT" w:eastAsia="TimesNewRomanPSMT"/>
          <w:b w:val="0"/>
          <w:i w:val="0"/>
          <w:color w:val="000000"/>
          <w:sz w:val="14"/>
          <w:u w:val="none"/>
        </w:rPr>
        <w:t xml:space="preserve">. </w:t>
      </w:r>
      <w:r>
        <w:rPr>
          <w:rFonts w:ascii="TimesNewRomanPSMT" w:hAnsi="TimesNewRomanPSMT" w:eastAsia="TimesNewRomanPSMT"/>
          <w:b w:val="0"/>
          <w:i w:val="0"/>
          <w:color w:val="000000"/>
          <w:sz w:val="14"/>
          <w:u w:val="none"/>
        </w:rPr>
        <w:t>Die stelsel is geëvalueer deur oorspronklike en gesintetiseerde (gekloonde) spraakmonsters van vier sprekers te vergelyk. Elke monsterpaar het bestaan ​​uit 'n reference.wav-lêer en sy kloon. Twee assesseringsmetodes is toegepas: Resemblyzer vir stemooreenkoms (Wan et al., 2018; Mishra et al., 2023), en DNSMOS vir waargenome klankkwaliteit (Reddy et al., 2021). Stemooreenkomsresultate word in Tabel 2 aangebied. Alle pare bereik 'n cosinus-ooreenkoms van ongeveer 0.90 (wat wissel van 0.9013 tot 0.9346), wat bevestig dat die VITS-model, ten spyte van die gebruik van die SVE, vokale timbre en sprekeridentiteit merkwaardig goed bewaar (Jia et al., 2018).</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90" w:lineRule="exact" w:before="0" w:after="0"/>
        <w:ind w:left="0" w:right="0"/>
      </w:pPr>
      <w:r>
        <w:rPr>
          <w:rFonts w:ascii="TimesNewRomanPSMT" w:hAnsi="TimesNewRomanPSMT" w:eastAsia="TimesNewRomanPSMT"/>
          <w:b w:val="0"/>
          <w:i w:val="0"/>
          <w:color w:val="000000"/>
          <w:sz w:val="14"/>
          <w:u w:val="none"/>
        </w:rPr>
        <w:t>Stemooreenkoms-resultate vir die viXTTS-model word in Tabel 2 aangebied. Alle pare bereik 'n cosinus-ooreenkoms van ongeveer 0.90 (wat wissel van 0.9013 tot 0.9346), wat bevestig dat die model vokale timbre en sprekeridentiteit merkwaardig goed bewaar (Jia et al., 2018). Luidspreker-ooreenkoms vir ander enjins is nie in hierdie evaluasielopie gemeet nie, aangesien die meeste van hulle nie inheems stemkloning ondersteun nie of 'n aparte verwysing-inbedding-onttrekkingstap vereis.</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14" w:lineRule="exact" w:before="0" w:after="0"/>
        <w:ind w:left="0" w:right="0"/>
      </w:pPr>
      <w:r>
        <w:rPr>
          <w:rFonts w:ascii="TimesNewRomanPSMT" w:hAnsi="TimesNewRomanPSMT" w:eastAsia="TimesNewRomanPSMT"/>
          <w:b w:val="0"/>
          <w:i w:val="0"/>
          <w:color w:val="000000"/>
          <w:sz w:val="14"/>
          <w:u w:val="none"/>
        </w:rPr>
        <w:t>Tabel 2. Stemooreenkoms tussen oorspronklike en gekloonde spraak.</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Lekker klank</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TimesNewRomanPSMT" w:hAnsi="TimesNewRomanPSMT" w:eastAsia="TimesNewRomanPSMT"/>
                <w:b w:val="0"/>
                <w:i w:val="0"/>
                <w:color w:val="000000"/>
                <w:sz w:val="18"/>
                <w:u w:val="none"/>
              </w:rPr>
              <w:t>Ooreenkomstigheid</w:t>
            </w:r>
          </w:p>
        </w:tc>
      </w:tr>
      <w:tr>
        <w:trPr>
          <w:trHeight w:hRule="atLeast"/>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TimesNewRomanPSMT" w:hAnsi="TimesNewRomanPSMT" w:eastAsia="TimesNewRomanPSMT"/>
                <w:b w:val="0"/>
                <w:i w:val="0"/>
                <w:color w:val="000000"/>
                <w:sz w:val="18"/>
                <w:u w:val="none"/>
              </w:rPr>
              <w:t xml:space="preserve">giong_goc af giong_clone Danh_1 en Danh_clone </w:t>
              <w:br/>
              <w:t>Khang1 en Khang_clone Ngoc1 en Ngoc_clone</w:t>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184" w:right="2328" w:firstLine="0"/>
              <w:jc w:val="left"/>
            </w:pPr>
            <w:r>
              <w:rPr>
                <w:rFonts w:ascii="TimesNewRomanPSMT" w:hAnsi="TimesNewRomanPSMT" w:eastAsia="TimesNewRomanPSMT"/>
                <w:b w:val="0"/>
                <w:i w:val="0"/>
                <w:color w:val="000000"/>
                <w:sz w:val="18"/>
                <w:u w:val="none"/>
              </w:rPr>
              <w:t xml:space="preserve">0,9038 </w:t>
              <w:br/>
              <w:t xml:space="preserve">0,9019 </w:t>
              <w:br/>
              <w:t xml:space="preserve">0,9346 </w:t>
              <w:br/>
              <w:t>0,9013</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tc>
      </w:tr>
    </w:tbl>
    <w:p>
      <w:pPr>
        <w:autoSpaceDN w:val="0"/>
        <w:autoSpaceDE w:val="0"/>
        <w:widowControl/>
        <w:spacing w:line="14" w:lineRule="exact" w:before="0" w:after="0"/>
        <w:ind w:left="0" w:right="0"/>
      </w:pPr>
      <w:r>
        <w:rPr>
          <w:rFonts w:ascii="TimesNewRomanPSMT" w:hAnsi="TimesNewRomanPSMT" w:eastAsia="TimesNewRomanPSMT"/>
          <w:b w:val="0"/>
          <w:i w:val="0"/>
          <w:color w:val="000000"/>
          <w:sz w:val="14"/>
          <w:u w:val="none"/>
        </w:rPr>
        <w:t>Spraakkwaliteitresultate van DNSMOS oor al sewe geëvalueerde enjins word in Tabel 3 opgesom. Vier maatstawwe is aangeteken: OVRL (algehele kwaliteit), SIG (spraakkwaliteit), BAK (agtergrondgeraas-indringendheid), en die aanvullende P808-telling ('n algehele luisterkwaliteitberamer wat met ITU-T P.808 belyn is). Tellings is op die standaard 1–5 gemiddelde opinietellingskaal, waar hoër waardes beter perseptuele kwaliteit aandui.</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14" w:lineRule="exact" w:before="0" w:after="0"/>
        <w:ind w:left="0" w:right="0"/>
      </w:pPr>
      <w:r>
        <w:rPr>
          <w:rFonts w:ascii="TimesNewRomanPSMT" w:hAnsi="TimesNewRomanPSMT" w:eastAsia="TimesNewRomanPSMT"/>
          <w:b w:val="0"/>
          <w:i w:val="0"/>
          <w:color w:val="000000"/>
          <w:sz w:val="14"/>
          <w:u w:val="none"/>
        </w:rPr>
        <w:t>Tabel 3. DNSMOS-evaluering van gesintetiseerde Viëtnamese spraakkwaliteit..</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rHeight w:hRule="atLeast"/>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Lêer oudio</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TimesNewRomanPSMT" w:hAnsi="TimesNewRomanPSMT" w:eastAsia="TimesNewRomanPSMT"/>
                <w:b w:val="0"/>
                <w:i w:val="0"/>
                <w:color w:val="000000"/>
                <w:sz w:val="18"/>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P808 MOS</w:t>
            </w:r>
          </w:p>
        </w:tc>
      </w:tr>
      <w:tr>
        <w:trPr>
          <w:trHeight w:hRule="atLeast"/>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TimesNewRomanPSMT" w:hAnsi="TimesNewRomanPSMT" w:eastAsia="TimesNewRomanPSMT"/>
                <w:b w:val="0"/>
                <w:i w:val="0"/>
                <w:color w:val="000000"/>
                <w:sz w:val="18"/>
                <w:u w:val="none"/>
              </w:rPr>
              <w:t>Voorgestelde viXTTS-gebaseer</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TimesNewRomanPSMT" w:hAnsi="TimesNewRomanPSMT" w:eastAsia="TimesNewRomanPSMT"/>
                <w:b w:val="0"/>
                <w:i w:val="0"/>
                <w:color w:val="000000"/>
                <w:sz w:val="18"/>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TimesNewRomanPSMT" w:hAnsi="TimesNewRomanPSMT" w:eastAsia="TimesNewRomanPSMT"/>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TimesNewRomanPSMT" w:hAnsi="TimesNewRomanPSMT" w:eastAsia="TimesNewRomanPSMT"/>
                <w:b w:val="0"/>
                <w:i w:val="0"/>
                <w:color w:val="000000"/>
                <w:sz w:val="18"/>
                <w:u w:val="none"/>
              </w:rPr>
              <w:t>4.03</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Stem kloning stelsel</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rHeight w:hRule="atLeast"/>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TimesNewRomanPSMT" w:hAnsi="TimesNewRomanPSMT" w:eastAsia="TimesNewRomanPSMT"/>
                <w:b w:val="0"/>
                <w:i w:val="0"/>
                <w:color w:val="000000"/>
                <w:sz w:val="18"/>
                <w:u w:val="none"/>
              </w:rPr>
              <w:t>Piper Vietnamese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18"/>
                <w:u w:val="none"/>
              </w:rPr>
              <w:t>Piper_Viëtnamees_TTS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TimesNewRomanPSMT" w:hAnsi="TimesNewRomanPSMT" w:eastAsia="TimesNewRomanPSMT"/>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TimesNewRomanPSMT" w:hAnsi="TimesNewRomanPSMT" w:eastAsia="TimesNewRomanPSMT"/>
                <w:b w:val="0"/>
                <w:i w:val="0"/>
                <w:color w:val="000000"/>
                <w:sz w:val="18"/>
                <w:u w:val="none"/>
              </w:rPr>
              <w:t>3.15</w:t>
            </w:r>
          </w:p>
        </w:tc>
      </w:tr>
      <w:tr>
        <w:trPr>
          <w:trHeight w:hRule="atLeast"/>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TimesNewRomanPSMT" w:hAnsi="TimesNewRomanPSMT" w:eastAsia="TimesNewRomanPSMT"/>
                <w:b w:val="0"/>
                <w:i w:val="0"/>
                <w:color w:val="000000"/>
                <w:sz w:val="18"/>
                <w:u w:val="none"/>
              </w:rPr>
              <w:t>Valtec Viëtnamees</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3,95</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rHeight w:hRule="atLeast"/>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TimesNewRomanPSMT" w:hAnsi="TimesNewRomanPSMT" w:eastAsia="TimesNewRomanPSMT"/>
                <w:b w:val="0"/>
                <w:i w:val="0"/>
                <w:color w:val="000000"/>
                <w:sz w:val="18"/>
                <w:u w:val="none"/>
              </w:rPr>
              <w:t>Viëtnamese 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TimesNewRomanPSMT" w:hAnsi="TimesNewRomanPSMT" w:eastAsia="TimesNewRomanPSMT"/>
                <w:b w:val="0"/>
                <w:i w:val="0"/>
                <w:color w:val="000000"/>
                <w:sz w:val="18"/>
                <w:u w:val="none"/>
              </w:rPr>
              <w:t>ViëtnameesTTS.wav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TimesNewRomanPSMT" w:hAnsi="TimesNewRomanPSMT" w:eastAsia="TimesNewRomanPSMT"/>
                <w:b w:val="0"/>
                <w:i w:val="0"/>
                <w:color w:val="000000"/>
                <w:sz w:val="18"/>
                <w:u w:val="none"/>
              </w:rPr>
              <w:t>2,73</w:t>
            </w: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4.21</w:t>
            </w:r>
          </w:p>
        </w:tc>
      </w:tr>
      <w:tr>
        <w:trPr>
          <w:trHeight w:hRule="atLeast"/>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TimesNewRomanPSMT" w:hAnsi="TimesNewRomanPSMT" w:eastAsia="TimesNewRomanPSMT"/>
                <w:b w:val="0"/>
                <w:i w:val="0"/>
                <w:color w:val="000000"/>
                <w:sz w:val="18"/>
                <w:u w:val="none"/>
              </w:rPr>
              <w:t>Valtec_Viëtnamese.wav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TimesNewRomanPSMT" w:hAnsi="TimesNewRomanPSMT" w:eastAsia="TimesNewRomanPSMT"/>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TimesNewRomanPSMT" w:hAnsi="TimesNewRomanPSMT" w:eastAsia="TimesNewRomanPSMT"/>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TimesNewRomanPSMT" w:hAnsi="TimesNewRomanPSMT" w:eastAsia="TimesNewRomanPSMT"/>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TimesNewRomanPSMT" w:hAnsi="TimesNewRomanPSMT" w:eastAsia="TimesNewRomanPSMT"/>
                <w:b w:val="0"/>
                <w:i w:val="0"/>
                <w:color w:val="000000"/>
                <w:sz w:val="18"/>
                <w:u w:val="none"/>
              </w:rPr>
              <w:t>3,64</w:t>
            </w:r>
          </w:p>
        </w:tc>
      </w:tr>
      <w:tr>
        <w:trPr>
          <w:trHeight w:hRule="atLeast"/>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TimesNewRomanPSMT" w:hAnsi="TimesNewRomanPSMT" w:eastAsia="TimesNewRomanPSMT"/>
                <w:b w:val="0"/>
                <w:i w:val="0"/>
                <w:color w:val="000000"/>
                <w:sz w:val="18"/>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TimesNewRomanPSMT" w:hAnsi="TimesNewRomanPSMT" w:eastAsia="TimesNewRomanPSMT"/>
                <w:b w:val="0"/>
                <w:i w:val="0"/>
                <w:color w:val="000000"/>
                <w:sz w:val="18"/>
                <w:u w:val="none"/>
              </w:rPr>
              <w:t>3,25</w:t>
            </w:r>
          </w:p>
        </w:tc>
        <w:tc>
          <w:tcPr>
            <w:tcW w:type="dxa" w:w="1504"/>
            <w:vMerge/>
            <w:tcBorders/>
          </w:tcPr>
          <w:p/>
        </w:tc>
        <w:tc>
          <w:tcPr>
            <w:tcW w:type="dxa" w:w="1504"/>
            <w:vMerge/>
            <w:tcBorders/>
          </w:tcPr>
          <w:p/>
        </w:tc>
      </w:tr>
      <w:tr>
        <w:trPr>
          <w:trHeight w:hRule="atLeast"/>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TimesNewRomanPSMT" w:hAnsi="TimesNewRomanPSMT" w:eastAsia="TimesNewRomanPSMT"/>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TimesNewRomanPSMT" w:hAnsi="TimesNewRomanPSMT" w:eastAsia="TimesNewRomanPSMT"/>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TimesNewRomanPSMT" w:hAnsi="TimesNewRomanPSMT" w:eastAsia="TimesNewRomanPSMT"/>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TimesNewRomanPSMT" w:hAnsi="TimesNewRomanPSMT" w:eastAsia="TimesNewRomanPSMT"/>
                <w:b w:val="0"/>
                <w:i w:val="0"/>
                <w:color w:val="000000"/>
                <w:sz w:val="18"/>
                <w:u w:val="none"/>
              </w:rPr>
              <w:t>3,68</w:t>
            </w:r>
          </w:p>
        </w:tc>
      </w:tr>
    </w:tbl>
    <w:p>
      <w:pPr>
        <w:sectPr>
          <w:pgSz w:w="11906" w:h="16838"/>
          <w:pgMar w:top="1196" w:right="1440" w:bottom="14"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p>
    <w:p>
      <w:pPr>
        <w:autoSpaceDN w:val="0"/>
        <w:autoSpaceDE w:val="0"/>
        <w:widowControl/>
        <w:spacing w:line="268" w:lineRule="exact" w:before="302" w:after="0"/>
        <w:ind w:left="1054" w:right="0" w:firstLine="0"/>
        <w:jc w:val="left"/>
      </w:pPr>
      <w:r>
        <w:rPr>
          <w:rFonts w:ascii="TimesNewRomanPSMT" w:hAnsi="TimesNewRomanPSMT" w:eastAsia="TimesNewRomanPSMT"/>
          <w:b w:val="0"/>
          <w:i w:val="0"/>
          <w:color w:val="000000"/>
          <w:sz w:val="16"/>
          <w:u w:val="none"/>
        </w:rPr>
        <w:t>10 F. Skrywer en S. Skrywer</w:t>
      </w:r>
      <w:r>
        <w:rPr>
          <w:rFonts w:ascii="TimesNewRomanPSMT" w:hAnsi="TimesNewRomanPSMT" w:eastAsia="TimesNewRomanPSMT"/>
          <w:b w:val="0"/>
          <w:i w:val="0"/>
          <w:color w:val="000000"/>
          <w:sz w:val="16"/>
          <w:u w:val="none"/>
        </w:rPr>
      </w:r>
    </w:p>
    <w:p>
      <w:pPr>
        <w:autoSpaceDN w:val="0"/>
        <w:autoSpaceDE w:val="0"/>
        <w:widowControl/>
        <w:spacing w:line="240" w:lineRule="exact" w:before="240" w:after="0"/>
        <w:ind w:left="1054" w:right="1054" w:firstLine="228"/>
        <w:jc w:val="both"/>
      </w:pPr>
      <w:r>
        <w:rPr>
          <w:rFonts w:ascii="TimesNewRomanPSMT" w:hAnsi="TimesNewRomanPSMT" w:eastAsia="TimesNewRomanPSMT"/>
          <w:b w:val="0"/>
          <w:i w:val="0"/>
          <w:color w:val="000000"/>
          <w:sz w:val="14"/>
          <w:u w:val="none"/>
        </w:rPr>
        <w:t>Die DNSMOS-evalueringsresultate toon merkbare verskille in gesintetiseerde Viëtnamese spraakkwaliteit tussen die geëvalueerde TTS-stelsels. Oor die algemeen behaal die voorgestelde viXTTS-gebaseerde stemkloningstelsel, verteenwoordig deur giong_clone.wav, die hoogste OVRL MOS-telling van 3.38 en die hoogste SIG MOS-telling van 3.60. Hierdie resultate dui aan dat die voorgestelde stelsel spraak produseer met sterk algehele perseptuele kwaliteit en duidelike spraakseine. Die hoë BAK MOS-telling van 4.14 dui ook daarop dat die gegenereerde klank baie min agtergrondgeraas bevat. Daarom demonstreer die viXTTS-gebaseerde model sterk prestasie in beide spraakhelderheid en geraasonderdrukking.</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620" w:val="left"/>
        </w:tabs>
        <w:autoSpaceDE w:val="0"/>
        <w:widowControl/>
        <w:spacing w:line="332" w:lineRule="exact" w:before="336" w:after="0"/>
        <w:ind w:left="1054" w:right="0" w:firstLine="0"/>
        <w:jc w:val="left"/>
      </w:pPr>
      <w:r>
        <w:rPr>
          <w:rFonts w:ascii="TimesNewRomanPSMT" w:hAnsi="TimesNewRomanPSMT" w:eastAsia="TimesNewRomanPSMT"/>
          <w:b w:val="0"/>
          <w:i w:val="0"/>
          <w:color w:val="000000"/>
          <w:sz w:val="14"/>
          <w:u w:val="none"/>
        </w:rPr>
        <w:t>Onder die vergelykende stelsels presteer Valtec_Vietnamese.wav ook mededingend, met 'n OVRL MOS van 3.37 en 'n SIG MOS van 3.58, wat baie na aan die voorgestelde stelsel is.  Boonop behaal hierdie model die hoogste P808 MOS-telling van 4.21, wat daarop dui dat luisteraars die algehele klankgehalte daarvan gunstig kan waarneem. Die voorgestelde giong_clone.wav presteer egter steeds effens beter as dit in die twee hoof DNSMOS-aanwysers, OVRL en SIG.  Dit dui daarop dat die voorgestelde model 'n klein maar meetbare voordeel het in terme van algehele spraakkwaliteit en seinhelderheid.</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32" w:after="0"/>
        <w:ind w:left="1054" w:right="1056" w:firstLine="0"/>
        <w:jc w:val="both"/>
      </w:pPr>
      <w:r>
        <w:rPr>
          <w:rFonts w:ascii="TimesNewRomanPSMT" w:hAnsi="TimesNewRomanPSMT" w:eastAsia="TimesNewRomanPSMT"/>
          <w:b w:val="0"/>
          <w:i w:val="0"/>
          <w:color w:val="000000"/>
          <w:sz w:val="14"/>
          <w:u w:val="none"/>
        </w:rPr>
        <w:t>Die VietNeu_TTS.wav-model behaal ook sterk resultate, met 'n OVRL MOS van 3.31, SIG MOS van 3.54, BAK MOS van 4.16 en P808 MOS van 3.68. Hierdie tellings plaas dit in die hoëpresterende groep, veral in terme van agtergrondgeraasonderdrukking. Sy BAK-telling is van die hoogste in die vergelyking, wat wys dat die gegenereerde klank skoon en stabiel is. Alhoewel sy algehele en seinkwaliteittellings effens laer is as dié van giong_clone.wav en Valtec_Vietnamese.wav, bly dit 'n betroubare model vir Viëtnamese spraaksintese.</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14"/>
          <w:u w:val="none"/>
        </w:rPr>
        <w:t>Die middelpresterende groep sluit Valtec Vietnamese TTS_ver2.wav, VietTTS.wav en Piper_Vietnamese_TTS in.  Hierdie modelle verkry OVRL MOS-tellings wat wissel van 3.00 tot 3.07, wat aanvaarbare maar nie uitstaande gesintetiseerde spraakkwaliteit aandui nie.  Hul SIG MOS-tellings, wat wissel van 3,25 tot 3,40, dui daarop dat die spraaksein redelik duidelik is, maar steeds minder natuurlik of minder gedetailleerd as die toppresterende stelsels. Veral, VietTTS.wav behaal 'n hoë BAK MOS-telling van 4.15, wat wys dat die klankuitset relatief skoon is.  Die laer OVRL- en SIG-tellings dui egter daarop dat agtergrondskoonheid alleen nie voldoende is om hoë algehele spraakkwaliteit te verseker nie.</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14"/>
          <w:u w:val="none"/>
        </w:rPr>
        <w:t>Die stelsel wat die laagste presteer is VietnameseTTS.wav, wat 'n OVRL MOS van 2.07, SIG MOS van 2.75, BAK MOS van 2.86 en P808 MOS van 2.73 verkry. Hierdie tellings is aansienlik laer as dié van die ander modelle. Die lae OVRL- en SIG-tellings dui veral daarop dat die gesintetiseerde spraak merkbare artefakte, verminderde natuurlikheid of onduidelike uitspraak kan bevat. Die lae BAK-telling dui ook aan dat die oudio meer agtergrondinterferensie of geraas kan insluit in vergelyking met die ander stelsels.</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138" w:lineRule="exact" w:before="236" w:after="0"/>
        <w:ind w:left="0" w:right="3156" w:firstLine="0"/>
        <w:jc w:val="right"/>
      </w:pPr>
      <w:r>
        <w:rPr>
          <w:rFonts w:ascii="TimesNewRomanPSMT" w:hAnsi="TimesNewRomanPSMT" w:eastAsia="TimesNewRomanPSMT"/>
          <w:b w:val="0"/>
          <w:i w:val="0"/>
          <w:color w:val="000000"/>
          <w:sz w:val="14"/>
          <w:u w:val="none"/>
        </w:rPr>
        <w:t>'n Algemene neiging kan oor die sterker modelle waargeneem word: die meeste stelsels behaal hoë BAK MOS-tellings bo 4.0, wat beteken dat moderne Viëtnamese TTS-modelle oor die algemeen effektief is om skoon oudio met beperkte agtergrondgeraas te produseer.  Verskille in OVRL- en SIG-tellings toon egter dat skoon klank nie altyd nie</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4474" w:val="left"/>
          <w:tab w:pos="5060" w:val="left"/>
          <w:tab w:pos="5652" w:val="left"/>
          <w:tab w:pos="5794" w:val="left"/>
          <w:tab w:pos="6048" w:val="left"/>
        </w:tabs>
        <w:autoSpaceDE w:val="0"/>
        <w:widowControl/>
        <w:spacing w:line="266" w:lineRule="exact" w:before="0" w:after="0"/>
        <w:ind w:left="2254" w:right="0" w:firstLine="0"/>
        <w:jc w:val="left"/>
      </w:pPr>
    </w:p>
    <w:p>
      <w:pPr>
        <w:autoSpaceDN w:val="0"/>
        <w:tabs>
          <w:tab w:pos="4776" w:val="left"/>
          <w:tab w:pos="5414" w:val="left"/>
          <w:tab w:pos="5556" w:val="left"/>
        </w:tabs>
        <w:autoSpaceDE w:val="0"/>
        <w:widowControl/>
        <w:spacing w:line="152" w:lineRule="exact" w:before="48" w:after="0"/>
        <w:ind w:left="4440" w:right="3312" w:firstLine="0"/>
        <w:jc w:val="left"/>
      </w:pPr>
    </w:p>
    <w:p>
      <w:pPr>
        <w:autoSpaceDN w:val="0"/>
        <w:tabs>
          <w:tab w:pos="5810" w:val="left"/>
          <w:tab w:pos="5936" w:val="left"/>
          <w:tab w:pos="6170" w:val="left"/>
          <w:tab w:pos="6312" w:val="left"/>
        </w:tabs>
        <w:autoSpaceDE w:val="0"/>
        <w:widowControl/>
        <w:spacing w:line="138" w:lineRule="exact" w:before="0" w:after="0"/>
        <w:ind w:left="5556" w:right="0" w:firstLine="0"/>
        <w:jc w:val="left"/>
      </w:pPr>
      <w:r>
        <w:rPr>
          <w:rFonts w:ascii="TimesNewRomanPSMT" w:hAnsi="TimesNewRomanPSMT" w:eastAsia="TimesNewRomanPSMT"/>
          <w:b w:val="0"/>
          <w:i w:val="0"/>
          <w:color w:val="000000"/>
          <w:sz w:val="14"/>
          <w:u w:val="none"/>
        </w:rPr>
        <w:t>Bydrae Titel (verkort indien te lank) 11</w:t>
      </w:r>
      <w:r>
        <w:rPr>
          <w:color w:val="000000"/>
          <w:sz w:val="14"/>
          <w:u w:val="none"/>
        </w:rPr>
        <w:t xml:space="preserve"> </w:t>
      </w:r>
      <w:r>
        <w:rPr>
          <w:rFonts w:ascii="TimesNewRomanPSMT" w:hAnsi="TimesNewRomanPSMT" w:eastAsia="TimesNewRomanPSMT"/>
          <w:b w:val="0"/>
          <w:i w:val="0"/>
          <w:color w:val="000000"/>
          <w:sz w:val="14"/>
          <w:u w:val="none"/>
        </w:rPr>
      </w:r>
    </w:p>
    <w:p>
      <w:pPr>
        <w:autoSpaceDN w:val="0"/>
        <w:autoSpaceDE w:val="0"/>
        <w:widowControl/>
        <w:spacing w:line="144" w:lineRule="exact" w:before="0" w:after="0"/>
        <w:ind w:left="6192" w:right="2260" w:firstLine="0"/>
        <w:jc w:val="right"/>
      </w:pPr>
      <w:r>
        <w:rPr>
          <w:rFonts w:ascii="TimesNewRomanPSMT" w:hAnsi="TimesNewRomanPSMT" w:eastAsia="TimesNewRomanPSMT"/>
          <w:b w:val="0"/>
          <w:i w:val="0"/>
          <w:color w:val="000000"/>
          <w:sz w:val="14"/>
          <w:u w:val="none"/>
        </w:rPr>
        <w:t>waarborg natuurlike en verstaanbare spraak. Spraaknatuurlikheid, duidelikheid en seinkwaliteit bly belangrike faktore om die beste presterende modelle te onderskei.</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4012" w:val="left"/>
          <w:tab w:pos="5824" w:val="left"/>
          <w:tab w:pos="6682" w:val="left"/>
        </w:tabs>
        <w:autoSpaceDE w:val="0"/>
        <w:widowControl/>
        <w:spacing w:line="240" w:lineRule="exact" w:before="310" w:after="0"/>
        <w:ind w:left="1054" w:right="1008" w:firstLine="0"/>
        <w:jc w:val="left"/>
      </w:pPr>
      <w:r>
        <w:rPr>
          <w:rFonts w:ascii="TimesNewRomanPSMT" w:hAnsi="TimesNewRomanPSMT" w:eastAsia="TimesNewRomanPSMT"/>
          <w:b w:val="0"/>
          <w:i w:val="0"/>
          <w:color w:val="000000"/>
          <w:sz w:val="14"/>
          <w:u w:val="none"/>
        </w:rPr>
        <w:t>Samevattend, die voorgestelde viXTTS-gebaseerde stemkloningmodel giong_clone.wav behaal die beste algehele prestasie in terme van OVRL en SIG MOS, wat dit die sterkste stelsel in hierdie vergelyking maak. Valtec_Vietnamese.wav en VietNeu_TTS.wav demonstreer ook mededingende prestasie en kan as sterk alternatiewe beskou word.  Intussen toon VietnameseTTS.wav die swakste resultate en kan verdere optimalisering vereis om spraaknatuurlikheid, helderheid en agtergrondgeraasbeheer te verbeter.</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54" w:firstLine="228"/>
        <w:jc w:val="both"/>
      </w:pPr>
      <w:r>
        <w:rPr>
          <w:rFonts w:ascii="TimesNewRomanPS" w:hAnsi="TimesNewRomanPS" w:eastAsia="TimesNewRomanPS"/>
          <w:b/>
          <w:i w:val="0"/>
          <w:color w:val="000000"/>
          <w:sz w:val="14"/>
          <w:u w:val="none"/>
        </w:rPr>
        <w:t xml:space="preserve">Intydse prestasie- en vertragingsanalise: </w:t>
      </w:r>
      <w:r>
        <w:rPr>
          <w:rFonts w:ascii="TimesNewRomanPS" w:hAnsi="TimesNewRomanPS" w:eastAsia="TimesNewRomanPS"/>
          <w:b/>
          <w:i w:val="0"/>
          <w:color w:val="000000"/>
          <w:sz w:val="14"/>
          <w:u w:val="none"/>
        </w:rPr>
      </w:r>
      <w:r>
        <w:rPr>
          <w:rFonts w:ascii="TimesNewRomanPS" w:hAnsi="TimesNewRomanPS" w:eastAsia="TimesNewRomanPS"/>
          <w:b/>
          <w:i w:val="0"/>
          <w:color w:val="000000"/>
          <w:sz w:val="14"/>
          <w:u w:val="none"/>
        </w:rPr>
      </w:r>
      <w:r>
        <w:rPr>
          <w:rFonts w:ascii="TimesNewRomanPS" w:hAnsi="TimesNewRomanPS" w:eastAsia="TimesNewRomanPS"/>
          <w:b/>
          <w:i w:val="0"/>
          <w:color w:val="000000"/>
          <w:sz w:val="14"/>
          <w:u w:val="none"/>
        </w:rPr>
      </w:r>
      <w:r>
        <w:rPr>
          <w:rFonts w:ascii="TimesNewRomanPS" w:hAnsi="TimesNewRomanPS" w:eastAsia="TimesNewRomanPS"/>
          <w:b/>
          <w:i w:val="0"/>
          <w:color w:val="000000"/>
          <w:sz w:val="14"/>
          <w:u w:val="none"/>
        </w:rPr>
      </w:r>
      <w:r>
        <w:rPr>
          <w:rFonts w:ascii="TimesNewRomanPSMT" w:hAnsi="TimesNewRomanPSMT" w:eastAsia="TimesNewRomanPSMT"/>
          <w:b w:val="0"/>
          <w:i w:val="0"/>
          <w:color w:val="000000"/>
          <w:sz w:val="14"/>
          <w:u w:val="none"/>
        </w:rPr>
        <w:t xml:space="preserve">:  </w:t>
      </w:r>
      <w:r>
        <w:rPr>
          <w:rFonts w:ascii="TimesNewRomanPSMT" w:hAnsi="TimesNewRomanPSMT" w:eastAsia="TimesNewRomanPSMT"/>
          <w:b w:val="0"/>
          <w:i w:val="0"/>
          <w:color w:val="000000"/>
          <w:sz w:val="14"/>
          <w:u w:val="none"/>
        </w:rPr>
        <w:t>Die mees kritieke prestasiemaatstaf van die huidige prototipe is die einde-tot-einde sintese latency.  Vir 'n tipiese invoerteks van 750 karakters (gelykstaande aan ongeveer 50 sekondes se gegenereerde oudio teen 'n standaard Viëtnamees-sprekende tempo van ongeveer 900 karakters per minuut), benodig die stelsel ongeveer 2 minute en 50 sekondes (170 sekondes) om die finale WAV-lêer te produseer.  Dit lewer 'n Real-Time Factor (RTF) van ongeveer 3.4, ver bo die intydse drempel van 1.0.  Die latensie is egter nie vas nie;  dit wissel meetbaar na gelang van die linguistiese kompleksiteit van die invoerteks.  Twee faktore oorheers die bykomende verwerkingsbokoste:</w:t>
        <w:br/>
        <w:t xml:space="preserv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color w:val="000000"/>
          <w:sz w:val="14"/>
          <w:u w:val="none"/>
        </w:rPr>
      </w:r>
      <w:r>
        <w:rPr>
          <w:rFonts w:ascii="SymbolMT" w:hAnsi="SymbolMT" w:eastAsia="SymbolMT"/>
          <w:b w:val="0"/>
          <w:i w:val="0"/>
          <w:color w:val="000000"/>
          <w:sz w:val="14"/>
          <w:u w:val="none"/>
        </w:rPr>
        <w:t></w:t>
      </w:r>
      <w:r>
        <w:rPr>
          <w:rFonts w:ascii="TimesNewRomanPSMT" w:hAnsi="TimesNewRomanPSMT" w:eastAsia="TimesNewRomanPSMT"/>
          <w:b w:val="0"/>
          <w:i w:val="0"/>
          <w:color w:val="000000"/>
          <w:sz w:val="14"/>
          <w:u w:val="none"/>
        </w:rPr>
        <w:t>Emosie-etikette. Elke emosionele grens dwing 'n nuwe sintese-stuk af met 'n aparte viXTTS-afleidingsoproep, wat lei tot veelvuldige konteksskakelaar en modellaai bokoste. Meer merkers verhoog die aantal stukke en die kumulatiewe pouse-invoegtyd.</w:t>
      </w:r>
      <w:r>
        <w:rPr>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color w:val="000000"/>
          <w:sz w:val="14"/>
          <w:u w:val="none"/>
        </w:rPr>
      </w:r>
      <w:r>
        <w:rPr>
          <w:rFonts w:ascii="TimesNewRomanPSMT" w:hAnsi="TimesNewRomanPSMT" w:eastAsia="TimesNewRomanPSMT"/>
          <w:b w:val="0"/>
          <w:i w:val="0"/>
          <w:color w:val="000000"/>
          <w:sz w:val="14"/>
          <w:u w:val="none"/>
        </w:rPr>
      </w:r>
    </w:p>
    <w:p>
      <w:pPr>
        <w:sectPr>
          <w:pgSz w:w="11906" w:h="16838"/>
          <w:pgMar w:top="1198" w:right="1440" w:bottom="1440" w:left="1440" w:header="720" w:footer="720" w:gutter="0"/>
          <w:cols/>
          <w:docGrid w:linePitch="360"/>
        </w:sectPr>
      </w:pPr>
      <w:r>
        <w:rPr>
          <w:rFonts w:ascii="SymbolMT" w:hAnsi="SymbolMT" w:eastAsia="SymbolMT"/>
          <w:b w:val="0"/>
          <w:i w:val="0"/>
          <w:color w:val="000000"/>
          <w:sz w:val="14"/>
          <w:u w:val="none"/>
        </w:rPr>
        <w:t></w:t>
      </w:r>
      <w:r>
        <w:rPr>
          <w:color w:val="000000"/>
          <w:sz w:val="14"/>
          <w:u w:val="none"/>
        </w:rPr>
        <w:t xml:space="preserve"> </w:t>
      </w:r>
      <w:r>
        <w:rPr>
          <w:rFonts w:ascii="TimesNewRomanPSMT" w:hAnsi="TimesNewRomanPSMT" w:eastAsia="TimesNewRomanPSMT"/>
          <w:b w:val="0"/>
          <w:i w:val="0"/>
          <w:color w:val="000000"/>
          <w:sz w:val="14"/>
          <w:u w:val="none"/>
        </w:rPr>
        <w:t> Engelse woorde en nie-Viëtnamese segmente. Dit vereis ekstra grafeem-tot-foneemstappe binne die teksnormaliseringslaag (Do, 2026), en kan aandagfoute veroorsaak wat die dekodeerder dwing om herbelyning te probeer, wat bydra tot die totale looptyd.</w:t>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20" w:lineRule="exact" w:before="0" w:after="978"/>
        <w:ind w:left="0" w:right="0"/>
      </w:pPr>
      <w:r>
        <w:rPr>
          <w:rFonts w:ascii="TimesNewRomanPSMT" w:hAnsi="TimesNewRomanPSMT" w:eastAsia="TimesNewRomanPSMT"/>
          <w:b w:val="0"/>
          <w:i w:val="0"/>
          <w:color w:val="000000"/>
          <w:sz w:val="14"/>
          <w:u w:val="none"/>
        </w:rPr>
        <w:t>Die waargenome latensie spruit uit die loop van die volle VITS-pyplyn op die SVE sonder om die beskikbare RTX GPU te gebruik. Die SVE-enigste PyTorch-bou kan nie die massiewe parallelisme van die GPU se tensorkerne ontgin nie, wat matriksvermenigvuldigings en konvolusies laat om opeenvolgend bereken te word. Ten spyte hiervan, bly die stelsel aanvaarbaar vir nabylyn-inhoudskeppingstake soos podcast-oorklanking, opvoedkundige vertelling of stemposgenerering – toepassings waar 'n paar minute se leweringstyd geduld word in ruil vir hoëgehalte, emosioneel ekspressiewe uitset.</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4"/>
          <w:u w:val="none"/>
        </w:rPr>
        <w:t xml:space="preserve">Die masjien is krities toegerus met 'n NVIDIA GeForce RTX GPU, wat ten volle in staat is om die afleiding te versnel. Om na 'n CUDA-geaktiveerde PyTorch-installasie te skuif, sal die RTF tot ver onder 0.1 verminder (gebaseer op tipiese GPU </w:t>
        <w:br/>
        <w:t>maatstawwe vir VITS), wat intydse stroomsintese moontlik maak. Daarbenewens kan modelkwantisering na FP16 of INT8, en oorskakeling na geoptimaliseerde inferensie-enjins soos ONNX Runtime met OpenVINO, latensie verder halveer terwyl die hoë ooreenkomste en MOS-tellings behoue ​​bly.</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b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620" w:val="left"/>
        </w:tabs>
        <w:autoSpaceDE w:val="0"/>
        <w:widowControl/>
        <w:spacing w:line="332" w:lineRule="exact" w:before="306" w:after="0"/>
        <w:ind w:left="1054" w:right="0" w:firstLine="0"/>
        <w:jc w:val="left"/>
      </w:pPr>
      <w:r>
        <w:rPr>
          <w:rFonts w:ascii="TimesNewRomanPS" w:hAnsi="TimesNewRomanPS" w:eastAsia="TimesNewRomanPS"/>
          <w:b/>
          <w:i w:val="0"/>
          <w:color w:val="000000"/>
          <w:sz w:val="24"/>
          <w:u w:val="none"/>
        </w:rPr>
        <w:t>6 Gevolgtrekking</w:t>
      </w:r>
      <w:r>
        <w:rPr>
          <w:rFonts w:ascii="TimesNewRomanPS" w:hAnsi="TimesNewRomanPS" w:eastAsia="TimesNewRomanPS"/>
          <w:b/>
          <w:i w:val="0"/>
          <w:color w:val="000000"/>
          <w:sz w:val="24"/>
          <w:u w:val="none"/>
        </w:rPr>
      </w:r>
    </w:p>
    <w:p>
      <w:pPr>
        <w:autoSpaceDN w:val="0"/>
        <w:autoSpaceDE w:val="0"/>
        <w:widowControl/>
        <w:spacing w:line="240" w:lineRule="exact" w:before="236" w:after="0"/>
        <w:ind w:left="1054" w:right="1054" w:firstLine="0"/>
        <w:jc w:val="both"/>
      </w:pPr>
      <w:r>
        <w:rPr>
          <w:rFonts w:ascii="TimesNewRomanPSMT" w:hAnsi="TimesNewRomanPSMT" w:eastAsia="TimesNewRomanPSMT"/>
          <w:b w:val="0"/>
          <w:i w:val="0"/>
          <w:color w:val="000000"/>
          <w:sz w:val="14"/>
          <w:u w:val="none"/>
        </w:rPr>
        <w:t>In hierdie navorsing is 'n Viëtnamese teks-na-spraak-stelsel wat op kunsmatige intelligensie en diep leer gebaseer is, deeglik ontwerp, geïmplementeer en geëvalueer. Die stelsel</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54" w:firstLine="228"/>
        <w:jc w:val="both"/>
      </w:pPr>
    </w:p>
    <w:p>
      <w:pPr>
        <w:autoSpaceDN w:val="0"/>
        <w:autoSpaceDE w:val="0"/>
        <w:widowControl/>
        <w:spacing w:line="240" w:lineRule="exact" w:before="34" w:after="0"/>
        <w:ind w:left="1054" w:right="1054" w:firstLine="228"/>
        <w:jc w:val="both"/>
      </w:pPr>
    </w:p>
    <w:p>
      <w:pPr>
        <w:autoSpaceDN w:val="0"/>
        <w:autoSpaceDE w:val="0"/>
        <w:widowControl/>
        <w:spacing w:line="268" w:lineRule="exact" w:before="0" w:after="14"/>
        <w:ind w:left="0" w:right="2376" w:firstLine="0"/>
        <w:jc w:val="right"/>
      </w:pPr>
      <w:r>
        <w:rPr>
          <w:rFonts w:ascii="TimesNewRomanPSMT" w:hAnsi="TimesNewRomanPSMT" w:eastAsia="TimesNewRomanPSMT"/>
          <w:b w:val="0"/>
          <w:i w:val="0"/>
          <w:color w:val="000000"/>
          <w:sz w:val="16"/>
          <w:u w:val="none"/>
        </w:rPr>
        <w:t>12 F. Skrywer en S. Skrywer</w:t>
      </w:r>
      <w:r>
        <w:rPr>
          <w:rFonts w:ascii="TimesNewRomanPSMT" w:hAnsi="TimesNewRomanPSMT" w:eastAsia="TimesNewRomanPSMT"/>
          <w:b w:val="0"/>
          <w:i w:val="0"/>
          <w:color w:val="000000"/>
          <w:sz w:val="16"/>
          <w:u w:val="none"/>
        </w:rPr>
      </w:r>
    </w:p>
    <w:p>
      <w:pPr>
        <w:autoSpaceDN w:val="0"/>
        <w:autoSpaceDE w:val="0"/>
        <w:widowControl/>
        <w:spacing w:line="14" w:lineRule="exact" w:before="0" w:after="0"/>
        <w:ind w:left="0" w:right="0"/>
      </w:pPr>
      <w:r>
        <w:rPr>
          <w:rFonts w:ascii="TimesNewRomanPSMT" w:hAnsi="TimesNewRomanPSMT" w:eastAsia="TimesNewRomanPSMT"/>
          <w:b w:val="0"/>
          <w:i w:val="0"/>
          <w:color w:val="000000"/>
          <w:sz w:val="14"/>
          <w:u w:val="none"/>
        </w:rPr>
        <w:t>ontgin moderne modelle soos Tacotron, FastSpeech en VITS om teks outomaties in natuurlike spraakseine om te skakel, en leer die unieke fonetiese en prosodiese kenmerke van Viëtnamees. Eksperimentele uitkomste toon dat die voorgestelde model duidelike, natuurlike spraak met toepaslike intonasie genereer en stabiele prestasie oor verskeie toestande en kontekste handhaaf.</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sectPr>
          <w:pgSz w:w="11906" w:h="16838"/>
          <w:pgMar w:top="1196" w:right="1440" w:bottom="1440" w:left="1440" w:header="720" w:footer="720" w:gutter="0"/>
          <w:cols/>
          <w:docGrid w:linePitch="360"/>
        </w:sectPr>
      </w:pPr>
      <w:r>
        <w:rPr>
          <w:rFonts w:ascii="TimesNewRomanPSMT" w:hAnsi="TimesNewRomanPSMT" w:eastAsia="TimesNewRomanPSMT"/>
          <w:b w:val="0"/>
          <w:i w:val="0"/>
          <w:color w:val="000000"/>
          <w:sz w:val="14"/>
          <w:u w:val="none"/>
        </w:rPr>
        <w:t>Die resultate wat behaal is, bevestig nie net die doeltreffendheid van diep leer in Viëtnamese spraaksintese nie, maar beklemtoon ook die stelsel se breë toepaslikheid in die praktyk, veral in virtuele assistente, onderwys, outomatiese oproepsentrums en hulpmiddels vir gesiggestremdes.  Toekomstige werk kan fokus op die uitbreiding en verryking van die spraakdatastel, die verbetering van plaaslike natuurlikheid, die optimalisering van modelle vir hulpbronbeperkte toestelle, en die integrasie van die stelsel in werklike wêreldplatforms om uitvoerbaarheid en bruikbaarheid te verbeter.</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20" w:lineRule="exact" w:before="0" w:after="978"/>
        <w:ind w:left="0" w:right="0"/>
      </w:pPr>
      <w:r>
        <w:rPr>
          <w:rFonts w:ascii="TimesNewRomanPS" w:hAnsi="TimesNewRomanPS" w:eastAsia="TimesNewRomanPS"/>
          <w:b/>
          <w:i w:val="0"/>
          <w:color w:val="000000"/>
          <w:sz w:val="18"/>
          <w:u w:val="none"/>
        </w:rPr>
        <w:t>Verwysings</w:t>
      </w: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4"/>
          <w:u w:val="none"/>
        </w:rPr>
        <w:t xml:space="preserve">1.  Ardila,  R.,  Branson,  M.,  Davis,  K.,  Henretty,  M.,  Kohler,  M.,  Meyer,  J.,  Morais,  R.,  Saunders,  L.,  Tyers,  F.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M.,&amp;Weber,  G.(2020).  Common  Voice:  A  massively- multilingual speech corpus. arXiv. https://arxiv.org/abs/1912.06670 </w:t>
        <w:br/>
        <w:t xml:space="preserve">2.  Baevski,  A.,  Zhou,  Y.,  Mohamed,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A.,&amp;Auli,  M.(2020).  wav2vec  2.0:  A  framework  for  self-supervised learning of speech representations. arXiv. https://arxiv.org/abs/2006.11477 3.  Casanova,  E.,  Weber,  J.,  Shulby,  C.  N.,  Junior,  A.  S.,  Gölge,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E.,&amp;Ponti,  M.  A.(2022).</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2" w:lineRule="exact" w:before="326" w:after="32"/>
        <w:ind w:left="0" w:right="3746" w:firstLine="0"/>
        <w:jc w:val="right"/>
      </w:pPr>
      <w:r>
        <w:rPr>
          <w:color w:val="000000"/>
          <w:sz w:val="14"/>
          <w:u w:val="none"/>
        </w:rPr>
        <w:t xml:space="preserve"> </w:t>
      </w:r>
      <w:r>
        <w:rPr>
          <w:rFonts w:ascii="TimesNewRomanPSMT" w:hAnsi="TimesNewRomanPSMT" w:eastAsia="TimesNewRomanPSMT"/>
          <w:b w:val="0"/>
          <w:i w:val="0"/>
          <w:color w:val="000000"/>
          <w:sz w:val="14"/>
          <w:u w:val="none"/>
        </w:rPr>
        <w:t xml:space="preserve"> YourTTS: Na nul-skoot multi-luidspreker TTS en zero-shot stem omskakeling vir almal. arXiv. __HOU_0__ </w:t>
        <w:br/>
        <w:t xml:space="preserve">4.  Chen,  M.,  Baevski,  A.,  Likhomanenko,  T.,  Kahn,  J.,  Pratap,  V.,  Conneau,  A.,  Collobert,  R., Synnaeve, G., &amp; Auli, M. (2022). WavLM: Large-scale self-supervised pre-training for  full stack speech processing. arXiv. https://arxiv.org/abs/2110.13900 </w:t>
        <w:br/>
        <w:t xml:space="preserve">5.  Devlin,  J.,  Chang,  M.  W.,  Lee,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K.,&amp;Toutanova,  K.(2019).  BERT:  Pre-training  of  deep  bidirectional  transformers  for  language  understanding.  arXiv.</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78" w:after="0"/>
        <w:ind w:left="1054" w:right="1054" w:firstLine="228"/>
        <w:jc w:val="both"/>
      </w:pPr>
      <w:r>
        <w:rPr>
          <w:color w:val="000000"/>
          <w:sz w:val="14"/>
          <w:u w:val="none"/>
        </w:rPr>
        <w:t xml:space="preserve"> </w:t>
      </w:r>
      <w:r>
        <w:rPr>
          <w:rFonts w:ascii="TimesNewRomanPSMT" w:hAnsi="TimesNewRomanPSMT" w:eastAsia="TimesNewRomanPSMT"/>
          <w:b w:val="0"/>
          <w:i w:val="0"/>
          <w:color w:val="000000"/>
          <w:sz w:val="14"/>
          <w:u w:val="none"/>
        </w:rPr>
        <w:t xml:space="preserve"> https://arxiv.org/abs/1810.04805 </w:t>
        <w:br/>
        <w:t>6.  Do,  N.(2026).  VietNormalizer:  An  open-source,  dependency-free  Python  library  for  Vietnamese  text  normalization  in  TTS  and  NLP  applications.  arXiv.</w:t>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52" w:firstLine="228"/>
        <w:jc w:val="both"/>
      </w:pPr>
      <w:r>
        <w:rPr>
          <w:color w:val="000000"/>
          <w:sz w:val="14"/>
          <w:u w:val="none"/>
        </w:rPr>
        <w:t xml:space="preserve"> </w:t>
      </w:r>
      <w:r>
        <w:rPr>
          <w:rFonts w:ascii="TimesNewRomanPSMT" w:hAnsi="TimesNewRomanPSMT" w:eastAsia="TimesNewRomanPSMT"/>
          <w:b w:val="0"/>
          <w:i w:val="0"/>
          <w:color w:val="000000"/>
          <w:sz w:val="14"/>
          <w:u w:val="none"/>
        </w:rPr>
        <w:t xml:space="preserve"> https://arxiv.org/abs/2603.04145 </w:t>
        <w:br/>
        <w:t xml:space="preserve">7.  Goodfellow,  I.,  Pouget-Abadie,  J.,  Mirza,  M.,  Xu,  B.,  Warde-Farley,  D.,  Ozair,  S.,  Courville,  A.,  &amp; </w:t>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t xml:space="preserve">&amp; </w:t>
      </w:r>
      <w:r>
        <w:rPr>
          <w:color w:val="000000"/>
          <w:sz w:val="14"/>
          <w:u w:val="none"/>
        </w:rPr>
        <w:t xml:space="preserve"> </w:t>
      </w:r>
      <w:r>
        <w:rPr>
          <w:rFonts w:ascii="TimesNewRomanPSMT" w:hAnsi="TimesNewRomanPSMT" w:eastAsia="TimesNewRomanPSMT"/>
          <w:b w:val="0"/>
          <w:i w:val="0"/>
          <w:color w:val="000000"/>
          <w:sz w:val="14"/>
          <w:u w:val="none"/>
        </w:rPr>
        <w:t xml:space="preserve"> Bengio,  Y.  (2014).  Generative  adversarial  networks.  arXiv.</w:t>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68" w:lineRule="exact" w:before="0" w:after="14"/>
        <w:ind w:left="2148" w:right="0" w:firstLine="0"/>
        <w:jc w:val="left"/>
      </w:pPr>
      <w:r>
        <w:rPr>
          <w:color w:val="000000"/>
          <w:sz w:val="14"/>
          <w:u w:val="none"/>
        </w:rPr>
        <w:t xml:space="preserve"> </w:t>
      </w:r>
      <w:r>
        <w:rPr>
          <w:rFonts w:ascii="TimesNewRomanPSMT" w:hAnsi="TimesNewRomanPSMT" w:eastAsia="TimesNewRomanPSMT"/>
          <w:b w:val="0"/>
          <w:i w:val="0"/>
          <w:color w:val="000000"/>
          <w:sz w:val="14"/>
          <w:u w:val="none"/>
        </w:rPr>
        <w:t xml:space="preserve"> https://arxiv.org/abs/1406.2661 </w:t>
        <w:br/>
        <w:t xml:space="preserve">8.  Hsu,  W.  N.,  Bolte,  B.,  Tsai,  Y.  H.  H.,  Lakhotia,  K.,  Salakhutdinov,  </w:t>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R.,&amp;Mohamed,  A.</w:t>
      </w:r>
      <w:r>
        <w:rPr>
          <w:rFonts w:ascii="TimesNewRomanPSMT" w:hAnsi="TimesNewRomanPSMT" w:eastAsia="TimesNewRomanPSMT"/>
          <w:b w:val="0"/>
          <w:i w:val="0"/>
          <w:color w:val="000000"/>
          <w:sz w:val="14"/>
          <w:u w:val="none"/>
        </w:rPr>
      </w:r>
    </w:p>
    <w:p>
      <w:pPr>
        <w:autoSpaceDN w:val="0"/>
        <w:autoSpaceDE w:val="0"/>
        <w:widowControl/>
        <w:spacing w:line="240" w:lineRule="exact" w:before="274" w:after="0"/>
        <w:ind w:left="1054" w:right="1054" w:firstLine="228"/>
        <w:jc w:val="both"/>
      </w:pPr>
      <w:r>
        <w:rPr>
          <w:color w:val="000000"/>
          <w:sz w:val="14"/>
          <w:u w:val="none"/>
        </w:rPr>
        <w:t xml:space="preserve"> </w:t>
      </w:r>
      <w:r>
        <w:rPr>
          <w:rFonts w:ascii="TimesNewRomanPSMT" w:hAnsi="TimesNewRomanPSMT" w:eastAsia="TimesNewRomanPSMT"/>
          <w:b w:val="0"/>
          <w:i w:val="0"/>
          <w:color w:val="000000"/>
          <w:sz w:val="14"/>
          <w:u w:val="none"/>
        </w:rPr>
        <w:t xml:space="preserve"> (2021). HuBERT: Self-toesig spraakvoorstelling leer deur gemaskerde voorspelling van verborge eenhede. arXiv. __HOU_0__ </w:t>
        <w:br/>
        <w:t xml:space="preserve">9.  Ito,  K.,&amp;Johnson,  L.(2017).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 The  LJ  Speech  Dataset.  https://keithito.com/LJ-Speech- Dataset/ </w:t>
        <w:br/>
        <w:t xml:space="preserve">10.  Jia,  Y., Zhang, Y.,  Weiss, R.  J., Wang,  Q., Shen,  J.,  Ren, X., Chen, Z., Nguyen,  P., Pang,  R.,  Moreno,  I.  L.,&amp;Wu,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Y.(2018).  Transfer  learning  from  speaker  verification  to  multispeaker  text-to-speech  synthesis.  Advances  in  Neural  Information  Processing  Systems,   31.</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68" w:lineRule="exact" w:before="0" w:after="0"/>
        <w:ind w:left="1668" w:right="0" w:firstLine="0"/>
        <w:jc w:val="left"/>
      </w:pPr>
      <w:r>
        <w:rPr>
          <w:rFonts w:ascii="TimesNewRomanPSMT" w:hAnsi="TimesNewRomanPSMT" w:eastAsia="TimesNewRomanPSMT"/>
          <w:b w:val="0"/>
          <w:i w:val="0"/>
          <w:color w:val="000000"/>
          <w:sz w:val="14"/>
          <w:u w:val="none"/>
        </w:rPr>
        <w:t>https://proceedings.neurips.cc/paper/2018/hash/6832a7b24bc06775d02b7406880b93fc-Abstract.html</w:t>
      </w:r>
      <w:r>
        <w:rPr>
          <w:rFonts w:ascii="TimesNewRomanPSMT" w:hAnsi="TimesNewRomanPSMT" w:eastAsia="TimesNewRomanPSMT"/>
          <w:b w:val="0"/>
          <w:i w:val="0"/>
          <w:color w:val="000000"/>
          <w:sz w:val="14"/>
          <w:u w:val="none"/>
        </w:rPr>
      </w:r>
    </w:p>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r>
        <w:rPr>
          <w:rFonts w:ascii="TimesNewRomanPSMT" w:hAnsi="TimesNewRomanPSMT" w:eastAsia="TimesNewRomanPSMT"/>
          <w:b w:val="0"/>
          <w:i w:val="0"/>
          <w:color w:val="000000"/>
          <w:sz w:val="14"/>
          <w:u w:val="none"/>
        </w:rPr>
        <w:t>Bydrae Titel (verkort indien te lank) 13</w:t>
      </w:r>
      <w:r>
        <w:rPr>
          <w:color w:val="000000"/>
          <w:sz w:val="14"/>
          <w:u w:val="none"/>
        </w:rPr>
        <w:t xml:space="preserve"> </w:t>
      </w:r>
      <w:r>
        <w:rPr>
          <w:rFonts w:ascii="TimesNewRomanPSMT" w:hAnsi="TimesNewRomanPSMT" w:eastAsia="TimesNewRomanPSMT"/>
          <w:b w:val="0"/>
          <w:i w:val="0"/>
          <w:color w:val="000000"/>
          <w:sz w:val="14"/>
          <w:u w:val="none"/>
        </w:rPr>
      </w: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4"/>
          <w:u w:val="none"/>
        </w:rPr>
        <w:t xml:space="preserve">11. Kalchbrenner, N., Elsen, E., Simonyan, K., Noury, S., Casagrande, N., Lockhart, E.,  Stimberg, F., van den Oord, A., Dieleman, S., &amp; Kavukcuoglu, K. (2018). Efficient neural  audio synthesis. arXiv. https://arxiv.org/abs/1802.08435 </w:t>
        <w:br/>
        <w:t xml:space="preserve">12. Kameoka, H., Kaneko, T., Tanaka,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K.,&amp;Hojo, N.(2018). StarGAN-VC: Non-parallel  many-to-many voice conversion using star generative adversarial networks. arXiv.</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330" w:after="0"/>
        <w:ind w:left="1054" w:right="1054" w:firstLine="228"/>
        <w:jc w:val="both"/>
      </w:pPr>
      <w:r>
        <w:rPr>
          <w:rFonts w:ascii="TimesNewRomanPSMT" w:hAnsi="TimesNewRomanPSMT" w:eastAsia="TimesNewRomanPSMT"/>
          <w:b w:val="0"/>
          <w:i w:val="0"/>
          <w:color w:val="000000"/>
          <w:sz w:val="14"/>
          <w:u w:val="none"/>
        </w:rPr>
        <w:t xml:space="preserve">https://arxiv.org/abs/1806.02169 </w:t>
        <w:br/>
        <w:t xml:space="preserve">13. Kim, J., Kong, </w:t>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J.,&amp;Son, J.(2021). Conditional variational autoencoder with adversarial  learning for end-to-end text-to-speech. arXiv. https://arxiv.org/abs/2106.06103 </w:t>
        <w:br/>
        <w:t xml:space="preserve">14. Kingma, D.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P.,&amp;Welling, M.(2014). Auto-encoding variational bayes. arXiv.</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282" w:val="left"/>
          <w:tab w:pos="2112" w:val="left"/>
          <w:tab w:pos="2584" w:val="left"/>
          <w:tab w:pos="3604" w:val="left"/>
          <w:tab w:pos="4516" w:val="left"/>
          <w:tab w:pos="6696" w:val="left"/>
          <w:tab w:pos="7250"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14"/>
          <w:u w:val="none"/>
        </w:rPr>
        <w:t xml:space="preserve">https://arxiv.org/abs/1312.6114 </w:t>
        <w:br/>
        <w:t xml:space="preserve">15.  Kong,  J.,  Kim,  </w:t>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J.,&amp;Bae,  J.(2020).  HiFi-GAN:  Generative  adversarial  networks  for   efficient and high fidelity speech synthesis. arXiv. https://arxiv.org/abs/2010.05646 16.  Mishra,  P.,  Choudhury,  J.  A.,  Kho,  E.,  Basu,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B.,&amp;Nandi,  A.(2023).  Speaker   identification,  differentiation  and  verification  using  deep  learning  for  human  machine   interface. In 2023 Photonics &amp; Electromagnetics Research Symposium (PIERS) (pp. 861–870). IEEE. https://ieeexplore.ieee.org/document/10221344 </w:t>
        <w:br/>
        <w:t xml:space="preserve">17.  Nguyen,  D.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Q.,&amp;Tuan,  N.  D.(2020).  PhoBERT:  Pre-trained  language  models  for   Vietnamese. arXiv. https://arxiv.org/abs/2003.00744 </w:t>
        <w:br/>
        <w:t>18.  Nguyen,  N.  (2023).   VietTTS:   Vietnamese  text  to   speech  library.  GitHub.</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14"/>
          <w:u w:val="none"/>
        </w:rPr>
        <w:t xml:space="preserve">https://github.com/NTT123/vietTTS </w:t>
        <w:br/>
        <w:t xml:space="preserve">19.  Oord,  A.  van  den,  Dieleman,  S.,  Zen,  H.,  Simonyan,  K.,  Vinyals,  O.,  Graves,  A.,   Kalchbrenner,  N.,  Senior,  </w:t>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A.,&amp;Kavukcuoglu,  K.(2016).  WaveNet:  A  generative  model   for raw audio. arXiv. https://arxiv.org/abs/1609.03499 </w:t>
        <w:br/>
        <w:t xml:space="preserve">20.  Ping, W., Peng, K., Gibiansky, A., Arik, S. O., Kannan, A., Narang, S., Raiman, J., Miller,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J.,&amp;Sengupta,  S.(2017).  Deep  Voice  3:  Scaling  text-to-speech  with  convolutional   sequence learning. arXiv. https://arxiv.org/abs/1710.07654 </w:t>
        <w:br/>
        <w:t xml:space="preserve">21.  Prenger,  R.,  Valle,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 xml:space="preserve">R.,&amp;Catanzaro,  B.(2019).  WaveGlow:  A  flow-based  generative   network for speech synthesis. arXiv. https://arxiv.org/abs/1811.00002 </w:t>
        <w:br/>
        <w:t xml:space="preserve">22.  Qian,  K.,  Zhang,  Y.,  Chang,  S.,  Yang,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X.,&amp;Hasegawa-Johnson,  M.(2019).  AutoVC:   Zero-shot  voice  style  transfer   with   only  autoencoder  loss.  arXiv.</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p>
    <w:p>
      <w:pPr>
        <w:autoSpaceDN w:val="0"/>
        <w:tabs>
          <w:tab w:pos="1282" w:val="left"/>
          <w:tab w:pos="1762" w:val="left"/>
          <w:tab w:pos="3452" w:val="left"/>
          <w:tab w:pos="4088" w:val="left"/>
          <w:tab w:pos="4922" w:val="left"/>
          <w:tab w:pos="5614" w:val="left"/>
          <w:tab w:pos="6728"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14"/>
          <w:u w:val="none"/>
        </w:rPr>
        <w:t xml:space="preserve">https://arxiv.org/abs/1905.05879 </w:t>
        <w:br/>
        <w:t xml:space="preserve">23. Radford, A., Kim, J. W., Xu, T., Brockman, G., McLeavey, </w:t>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C.,&amp;Sutskever, I.(2022).</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14"/>
          <w:u w:val="none"/>
        </w:rPr>
        <w:t>Robuuste spraakherkenning deur grootskaalse swak toesig.  arXiv.</w:t>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14"/>
          <w:u w:val="none"/>
        </w:rPr>
        <w:t xml:space="preserve">https://arxiv.org/abs/2212.04356 </w:t>
        <w:br/>
        <w:t xml:space="preserve">24. Reddy, C. K., Gopal, </w:t>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V.,&amp;Cutler, R.(2021). DNSMOS: A non-intrusive perceptual  objective speech quality metric to evaluate noise suppressors. In ICASSP 2021–2021 IEEE  International Conference on Acoustics, Speech and Signal Processing(pp. 6493–6497).</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14"/>
          <w:u w:val="none"/>
        </w:rPr>
        <w:t xml:space="preserve">IEEE. __HOU_0__ </w:t>
        <w:br/>
        <w:t xml:space="preserve">25. Ren, Y., Ruan, Y., Chen, X., Qin, T., Zhao, S., &amp; Liu, T. (2019). FastSpeech: Fast, robust  and controllable text to speech. arXiv. https://arxiv.org/abs/1905.09263 </w:t>
        <w:br/>
        <w:t xml:space="preserve">26. Ren, Y., Hu, C., Tan, X., Qin, T., Zhao, S., Zhao, Z., &amp; Liu, T. (2020). FastSpeech 2: Fast  and high-quality end-to-end text to speech. arXiv. https://arxiv.org/abs/2006.04558 27. Shen, J., Pang, R., Weiss, R. J., Schuster, M., Jaitly, N., Yang, Z., Chen, Z., Zhang, Y.,  Wang, Y., Skerry-Ryan, R. J., Saurous, R. A., Agiomyrgiannakis, </w:t>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Y.,&amp;Wu, Y.(2018).</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20" w:lineRule="exact" w:before="0" w:after="976"/>
        <w:ind w:left="0" w:right="0"/>
      </w:pPr>
      <w:r>
        <w:rPr>
          <w:rFonts w:ascii="TimesNewRomanPSMT" w:hAnsi="TimesNewRomanPSMT" w:eastAsia="TimesNewRomanPSMT"/>
          <w:b w:val="0"/>
          <w:i w:val="0"/>
          <w:color w:val="000000"/>
          <w:sz w:val="14"/>
          <w:u w:val="none"/>
        </w:rPr>
        <w:t>Natuurlike TTS-sintese deur WaveNet te kondisioneer op mel-spektrogramvoorspellings. arXiv.</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4"/>
          <w:u w:val="none"/>
        </w:rPr>
        <w:t xml:space="preserve">https://arxiv.org/abs/1712.05884 </w:t>
        <w:br/>
        <w:t>28. Thinh, L.(2024). viXTTS: A Vietnamese voice cloning text-to-speech model. GitHub.</w:t>
      </w:r>
      <w:r>
        <w:rPr>
          <w:color w:val="000000"/>
          <w:sz w:val="14"/>
          <w:u w:val="none"/>
        </w:rPr>
        <w:b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282" w:val="left"/>
          <w:tab w:pos="1642" w:val="left"/>
          <w:tab w:pos="2002" w:val="left"/>
        </w:tabs>
        <w:autoSpaceDE w:val="0"/>
        <w:widowControl/>
        <w:spacing w:line="240" w:lineRule="exact" w:before="330" w:after="0"/>
        <w:ind w:left="1054" w:right="1008" w:firstLine="0"/>
        <w:jc w:val="left"/>
      </w:pPr>
      <w:r>
        <w:rPr>
          <w:rFonts w:ascii="TimesNewRomanPSMT" w:hAnsi="TimesNewRomanPSMT" w:eastAsia="TimesNewRomanPSMT"/>
          <w:b w:val="0"/>
          <w:i w:val="0"/>
          <w:color w:val="000000"/>
          <w:sz w:val="14"/>
          <w:u w:val="none"/>
        </w:rPr>
        <w:t>https://github.com/thinhlpg/vixtts-demo</w:t>
      </w:r>
    </w:p>
    <w:p>
      <w:pPr>
        <w:autoSpaceDN w:val="0"/>
        <w:tabs>
          <w:tab w:pos="2002" w:val="left"/>
        </w:tabs>
        <w:autoSpaceDE w:val="0"/>
        <w:widowControl/>
        <w:spacing w:line="246" w:lineRule="exact" w:before="0" w:after="0"/>
        <w:ind w:left="1642" w:right="1152" w:firstLine="0"/>
        <w:jc w:val="left"/>
      </w:pPr>
    </w:p>
    <w:p>
      <w:pPr>
        <w:autoSpaceDN w:val="0"/>
        <w:autoSpaceDE w:val="0"/>
        <w:widowControl/>
        <w:spacing w:line="240" w:lineRule="exact" w:before="28" w:after="0"/>
        <w:ind w:left="1054" w:right="1008" w:firstLine="0"/>
        <w:jc w:val="left"/>
      </w:pPr>
    </w:p>
    <w:p>
      <w:pPr>
        <w:autoSpaceDN w:val="0"/>
        <w:autoSpaceDE w:val="0"/>
        <w:widowControl/>
        <w:spacing w:line="240" w:lineRule="exact" w:before="28" w:after="0"/>
        <w:ind w:left="1054" w:right="1008" w:firstLine="228"/>
        <w:jc w:val="left"/>
      </w:pPr>
      <w:r>
        <w:rPr>
          <w:rFonts w:ascii="TimesNewRomanPSMT" w:hAnsi="TimesNewRomanPSMT" w:eastAsia="TimesNewRomanPSMT"/>
          <w:b w:val="0"/>
          <w:i w:val="0"/>
          <w:color w:val="000000"/>
          <w:sz w:val="16"/>
          <w:u w:val="none"/>
        </w:rPr>
        <w:t>14 F. Skrywer en S. Skrywer</w:t>
      </w:r>
      <w:r>
        <w:rPr>
          <w:rFonts w:ascii="TimesNewRomanPSMT" w:hAnsi="TimesNewRomanPSMT" w:eastAsia="TimesNewRomanPSMT"/>
          <w:b w:val="0"/>
          <w:i w:val="0"/>
          <w:color w:val="000000"/>
          <w:sz w:val="16"/>
          <w:u w:val="none"/>
        </w:rPr>
      </w:r>
    </w:p>
    <w:p>
      <w:pPr>
        <w:autoSpaceDN w:val="0"/>
        <w:tabs>
          <w:tab w:pos="1620" w:val="left"/>
        </w:tabs>
        <w:autoSpaceDE w:val="0"/>
        <w:widowControl/>
        <w:spacing w:line="332" w:lineRule="exact" w:before="338" w:after="0"/>
        <w:ind w:left="1054" w:right="0" w:firstLine="0"/>
        <w:jc w:val="left"/>
      </w:pPr>
      <w:r>
        <w:rPr>
          <w:rFonts w:ascii="TimesNewRomanPSMT" w:hAnsi="TimesNewRomanPSMT" w:eastAsia="TimesNewRomanPSMT"/>
          <w:b w:val="0"/>
          <w:i w:val="0"/>
          <w:color w:val="000000"/>
          <w:sz w:val="14"/>
          <w:u w:val="none"/>
        </w:rPr>
        <w:t>29. Vaswani, A., Shazeer, N., Parmar, N., Uszkoreit, J., Jones, L., Gomez, A. N., Kaiser, Ł., &amp;</w:t>
      </w:r>
      <w:r>
        <w:rPr>
          <w:rFonts w:ascii="TimesNewRomanPSMT" w:hAnsi="TimesNewRomanPSMT" w:eastAsia="TimesNewRomanPSMT"/>
          <w:b w:val="0"/>
          <w:i w:val="0"/>
          <w:color w:val="000000"/>
          <w:sz w:val="14"/>
          <w:u w:val="none"/>
        </w:rPr>
      </w:r>
    </w:p>
    <w:p>
      <w:pPr>
        <w:autoSpaceDN w:val="0"/>
        <w:autoSpaceDE w:val="0"/>
        <w:widowControl/>
        <w:spacing w:line="240" w:lineRule="exact" w:before="230" w:after="0"/>
        <w:ind w:left="1008" w:right="1008" w:firstLine="0"/>
        <w:jc w:val="center"/>
      </w:pPr>
      <w:r>
        <w:rPr>
          <w:rFonts w:ascii="TimesNewRomanPSMT" w:hAnsi="TimesNewRomanPSMT" w:eastAsia="TimesNewRomanPSMT"/>
          <w:b w:val="0"/>
          <w:i w:val="0"/>
          <w:color w:val="000000"/>
          <w:sz w:val="14"/>
          <w:u w:val="none"/>
        </w:rPr>
        <w:t>Polosukhin, I. (2017). Aandag is al wat jy nodig het. arXiv. __HOU_0__</w:t>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14"/>
          <w:u w:val="none"/>
        </w:rPr>
        <w:t>30. Vu, T., Nguyen, L. T., &amp;Nguyen, D. Q. (2025). Zero-shot text-to-speech for Vietnamese.</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20" w:lineRule="exact" w:before="0" w:after="976"/>
        <w:ind w:left="0" w:right="0"/>
      </w:pPr>
      <w:r>
        <w:rPr>
          <w:rFonts w:ascii="TimesNewRomanPSMT" w:hAnsi="TimesNewRomanPSMT" w:eastAsia="TimesNewRomanPSMT"/>
          <w:b w:val="0"/>
          <w:i w:val="0"/>
          <w:color w:val="000000"/>
          <w:sz w:val="18"/>
          <w:u w:val="none"/>
        </w:rPr>
        <w:t>arXiv. __HOU_0__</w:t>
      </w: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4"/>
          <w:u w:val="none"/>
        </w:rPr>
        <w:t xml:space="preserve">31. Wan, L., Wang, Q., Papir,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A.,&amp;Moreno, I. L.(2018). Generalized end-to-end loss for</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14"/>
          <w:u w:val="none"/>
        </w:rPr>
        <w:t>spreker verifikasie. In 2018 IEEE Internasionale Konferensie oor akoestiek, spraak en</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282" w:val="left"/>
          <w:tab w:pos="1474" w:val="left"/>
          <w:tab w:pos="2194" w:val="left"/>
          <w:tab w:pos="2976" w:val="left"/>
          <w:tab w:pos="3984" w:val="left"/>
          <w:tab w:pos="4816" w:val="left"/>
          <w:tab w:pos="5942" w:val="left"/>
          <w:tab w:pos="6984" w:val="left"/>
          <w:tab w:pos="7738"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14"/>
          <w:u w:val="none"/>
        </w:rPr>
        <w:t>Seinverwerking (ICASSP) (pp. 4879–4883).  IEEE.</w:t>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p>
    <w:p>
      <w:pPr>
        <w:autoSpaceDN w:val="0"/>
        <w:autoSpaceDE w:val="0"/>
        <w:widowControl/>
        <w:spacing w:line="332" w:lineRule="exact" w:before="336" w:after="0"/>
        <w:ind w:left="1054" w:right="0" w:firstLine="0"/>
        <w:jc w:val="left"/>
      </w:pPr>
      <w:r>
        <w:rPr>
          <w:rFonts w:ascii="TimesNewRomanPSMT" w:hAnsi="TimesNewRomanPSMT" w:eastAsia="TimesNewRomanPSMT"/>
          <w:b w:val="0"/>
          <w:i w:val="0"/>
          <w:color w:val="000000"/>
          <w:sz w:val="14"/>
          <w:u w:val="none"/>
        </w:rPr>
        <w:t>https://ieeexplore.ieee.org/abstract/document/8462665</w:t>
      </w:r>
    </w:p>
    <w:p>
      <w:pPr>
        <w:autoSpaceDN w:val="0"/>
        <w:tabs>
          <w:tab w:pos="1394" w:val="left"/>
          <w:tab w:pos="2780" w:val="left"/>
          <w:tab w:pos="4164" w:val="left"/>
          <w:tab w:pos="4850" w:val="left"/>
          <w:tab w:pos="5976" w:val="left"/>
          <w:tab w:pos="7516" w:val="left"/>
        </w:tabs>
        <w:autoSpaceDE w:val="0"/>
        <w:widowControl/>
        <w:spacing w:line="220" w:lineRule="exact" w:before="230" w:after="0"/>
        <w:ind w:left="1144" w:right="1008" w:firstLine="0"/>
        <w:jc w:val="left"/>
      </w:pPr>
      <w:r>
        <w:rPr>
          <w:rFonts w:ascii="TimesNewRomanPSMT" w:hAnsi="TimesNewRomanPSMT" w:eastAsia="TimesNewRomanPSMT"/>
          <w:b w:val="0"/>
          <w:i w:val="0"/>
          <w:color w:val="000000"/>
          <w:sz w:val="14"/>
          <w:u w:val="none"/>
        </w:rPr>
        <w:t>32. Wang, Y., Skerry-Ryan, R. J., Stanton, D., Wu, Y., Weiss, R. J., Jaitly, N., Yang, Z., Xiao,</w:t>
      </w:r>
      <w:r>
        <w:rPr>
          <w:rFonts w:ascii="TimesNewRomanPSMT" w:hAnsi="TimesNewRomanPSMT" w:eastAsia="TimesNewRomanPSMT"/>
          <w:b w:val="0"/>
          <w:i w:val="0"/>
          <w:color w:val="000000"/>
          <w:sz w:val="14"/>
          <w:u w:val="none"/>
        </w:rPr>
      </w:r>
    </w:p>
    <w:p>
      <w:pPr>
        <w:autoSpaceDN w:val="0"/>
        <w:tabs>
          <w:tab w:pos="1394" w:val="left"/>
          <w:tab w:pos="2498" w:val="left"/>
          <w:tab w:pos="3022" w:val="left"/>
          <w:tab w:pos="4274" w:val="left"/>
          <w:tab w:pos="4668" w:val="left"/>
          <w:tab w:pos="5242" w:val="left"/>
          <w:tab w:pos="5756" w:val="left"/>
          <w:tab w:pos="6348" w:val="left"/>
          <w:tab w:pos="7516" w:val="left"/>
        </w:tabs>
        <w:autoSpaceDE w:val="0"/>
        <w:widowControl/>
        <w:spacing w:line="220" w:lineRule="exact" w:before="22" w:after="0"/>
        <w:ind w:left="1144" w:right="1008" w:firstLine="0"/>
        <w:jc w:val="left"/>
      </w:pPr>
      <w:r>
        <w:rPr>
          <w:rFonts w:ascii="TimesNewRomanPSMT" w:hAnsi="TimesNewRomanPSMT" w:eastAsia="TimesNewRomanPSMT"/>
          <w:b w:val="0"/>
          <w:i w:val="0"/>
          <w:color w:val="000000"/>
          <w:sz w:val="14"/>
          <w:u w:val="none"/>
        </w:rPr>
        <w:t xml:space="preserve">Y., Chen, Z., Bengio, S., Le, Q., Agiomyrgiannakis, Y., Clark, R.,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&amp; Saurous, R.A.</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394" w:val="left"/>
          <w:tab w:pos="2284" w:val="left"/>
          <w:tab w:pos="2668" w:val="left"/>
          <w:tab w:pos="2976" w:val="left"/>
          <w:tab w:pos="3706" w:val="left"/>
          <w:tab w:pos="4046" w:val="left"/>
          <w:tab w:pos="4736" w:val="left"/>
          <w:tab w:pos="5690" w:val="left"/>
          <w:tab w:pos="6646" w:val="left"/>
          <w:tab w:pos="7516" w:val="left"/>
        </w:tabs>
        <w:autoSpaceDE w:val="0"/>
        <w:widowControl/>
        <w:spacing w:line="220" w:lineRule="exact" w:before="22" w:after="0"/>
        <w:ind w:left="1144" w:right="1008" w:firstLine="0"/>
        <w:jc w:val="left"/>
      </w:pPr>
      <w:r>
        <w:rPr>
          <w:rFonts w:ascii="TimesNewRomanPSMT" w:hAnsi="TimesNewRomanPSMT" w:eastAsia="TimesNewRomanPSMT"/>
          <w:b w:val="0"/>
          <w:i w:val="0"/>
          <w:color w:val="000000"/>
          <w:sz w:val="14"/>
          <w:u w:val="none"/>
        </w:rPr>
        <w:t>(2017).  Tacotron: Op pad na end-tot-end spraaksintese.  arXiv.</w:t>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p>
    <w:p>
      <w:pPr>
        <w:autoSpaceDN w:val="0"/>
        <w:tabs>
          <w:tab w:pos="1144" w:val="left"/>
          <w:tab w:pos="1394" w:val="left"/>
          <w:tab w:pos="7748"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4"/>
          <w:u w:val="none"/>
        </w:rPr>
        <w:t>https://arxiv.org/abs/1703.10132</w:t>
      </w:r>
    </w:p>
    <w:p>
      <w:pPr>
        <w:autoSpaceDN w:val="0"/>
        <w:autoSpaceDE w:val="0"/>
        <w:widowControl/>
        <w:spacing w:line="220" w:lineRule="exact" w:before="22" w:after="0"/>
        <w:ind w:left="1394" w:right="1296" w:firstLine="0"/>
        <w:jc w:val="left"/>
      </w:pPr>
      <w:r>
        <w:rPr>
          <w:rFonts w:ascii="TimesNewRomanPSMT" w:hAnsi="TimesNewRomanPSMT" w:eastAsia="TimesNewRomanPSMT"/>
          <w:b w:val="0"/>
          <w:i w:val="0"/>
          <w:color w:val="000000"/>
          <w:sz w:val="14"/>
          <w:u w:val="none"/>
        </w:rPr>
        <w:t>33. Wang, Y., Stanton, D., Zhang, Y., Skerry-Ryan, R. J., Battenberg, E., Shor, J., Xiao, Y.,</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14"/>
          <w:u w:val="none"/>
        </w:rPr>
        <w:t xml:space="preserve">Jia, Y., Ren, F.,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t>&amp;</w:t>
      </w:r>
      <w:r>
        <w:rPr>
          <w:rFonts w:ascii="TimesNewRomanPSMT" w:hAnsi="TimesNewRomanPSMT" w:eastAsia="TimesNewRomanPSMT"/>
          <w:b w:val="0"/>
          <w:i w:val="0"/>
          <w:color w:val="000000"/>
          <w:sz w:val="14"/>
          <w:u w:val="none"/>
        </w:rPr>
        <w:t>&amp; Saurous, R. A. (2018). Styltekens: stylmodellering sonder toesig,</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20" w:lineRule="exact" w:before="0" w:after="976"/>
        <w:ind w:left="0" w:right="0"/>
      </w:pPr>
      <w:r>
        <w:rPr>
          <w:rFonts w:ascii="TimesNewRomanPSMT" w:hAnsi="TimesNewRomanPSMT" w:eastAsia="TimesNewRomanPSMT"/>
          <w:b w:val="0"/>
          <w:i w:val="0"/>
          <w:color w:val="000000"/>
          <w:sz w:val="14"/>
          <w:u w:val="none"/>
        </w:rPr>
        <w:t>beheer en oordrag in end-tot-end spraaksintese.  arXiv.</w:t>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4"/>
          <w:u w:val="none"/>
        </w:rPr>
        <w:t>https://arxiv.org/abs/1803.09017</w:t>
      </w:r>
    </w:p>
    <w:p>
      <w:pPr>
        <w:autoSpaceDN w:val="0"/>
        <w:autoSpaceDE w:val="0"/>
        <w:widowControl/>
        <w:spacing w:line="220" w:lineRule="exact" w:before="328" w:after="0"/>
        <w:ind w:left="1394" w:right="1008" w:hanging="338"/>
        <w:jc w:val="left"/>
      </w:pPr>
      <w:r>
        <w:rPr>
          <w:rFonts w:ascii="TimesNewRomanPSMT" w:hAnsi="TimesNewRomanPSMT" w:eastAsia="TimesNewRomanPSMT"/>
          <w:b w:val="0"/>
          <w:i w:val="0"/>
          <w:color w:val="000000"/>
          <w:sz w:val="14"/>
          <w:u w:val="none"/>
        </w:rPr>
        <w:t>34. Yamagishi, J., Veaux, C., &amp;MacDonald, K. (2019). CSTR VCTK Corpus: English multi-</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4"/>
          <w:u w:val="none"/>
        </w:rPr>
        <w:t>sprekerskorpus vir CSTR stem kloning toolkit (weergawe 0.92). Universiteit van Edinburgh.</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394" w:val="left"/>
          <w:tab w:pos="2200" w:val="left"/>
          <w:tab w:pos="2568" w:val="left"/>
          <w:tab w:pos="3284" w:val="left"/>
          <w:tab w:pos="4154" w:val="left"/>
          <w:tab w:pos="5196" w:val="left"/>
          <w:tab w:pos="5656" w:val="left"/>
          <w:tab w:pos="5988" w:val="left"/>
          <w:tab w:pos="6670" w:val="left"/>
          <w:tab w:pos="738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4"/>
          <w:u w:val="none"/>
        </w:rPr>
        <w:t>https://datashare.ed.ac.uk/handle/10283/3443</w:t>
      </w:r>
    </w:p>
    <w:p>
      <w:pPr>
        <w:autoSpaceDN w:val="0"/>
        <w:tabs>
          <w:tab w:pos="1394" w:val="left"/>
          <w:tab w:pos="2380" w:val="left"/>
          <w:tab w:pos="3060" w:val="left"/>
          <w:tab w:pos="3686" w:val="left"/>
          <w:tab w:pos="4524" w:val="left"/>
          <w:tab w:pos="5128" w:val="left"/>
          <w:tab w:pos="5736" w:val="left"/>
          <w:tab w:pos="6904" w:val="left"/>
          <w:tab w:pos="7516"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4"/>
          <w:u w:val="none"/>
        </w:rPr>
        <w:t>35. Zen, H., Dang, V., Clark, R., Zhang, Y., Weiss, R. J., Jia, Y., Chen, Z., &amp;Wu, Y. (2019).</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1394" w:val="left"/>
          <w:tab w:pos="2196" w:val="left"/>
          <w:tab w:pos="2980" w:val="left"/>
          <w:tab w:pos="4092" w:val="left"/>
          <w:tab w:pos="4606" w:val="left"/>
          <w:tab w:pos="5676" w:val="left"/>
          <w:tab w:pos="6348" w:val="left"/>
          <w:tab w:pos="7516"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4"/>
          <w:u w:val="none"/>
        </w:rPr>
        <w:t>LibriTTS: 'n Korpus afgelei van LibriSpeech vir teks-na-spraak.  arXiv.</w:t>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r>
        <w:rPr>
          <w:color w:val="000000"/>
          <w:sz w:val="14"/>
          <w:u w:val="none"/>
        </w:rPr>
        <w:t xml:space="preserve"> </w:t>
      </w:r>
      <w:r>
        <w:rPr>
          <w:rFonts w:ascii="TimesNewRomanPSMT" w:hAnsi="TimesNewRomanPSMT" w:eastAsia="TimesNewRomanPSMT"/>
          <w:b w:val="0"/>
          <w:i w:val="0"/>
          <w:color w:val="000000"/>
          <w:sz w:val="14"/>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4"/>
          <w:u w:val="none"/>
        </w:rPr>
        <w:t>https://arxiv.org/abs/1904.02882</w:t>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4"/>
          <w:u w:val="none"/>
        </w:rPr>
        <w:t>36. Le, T. (2024). viVoice: A large-scale multi-speaker Vietnamese speech dataset for text-to-</w:t>
      </w:r>
      <w:r>
        <w:rPr>
          <w:rFonts w:ascii="TimesNewRomanPSMT" w:hAnsi="TimesNewRomanPSMT" w:eastAsia="TimesNewRomanPSMT"/>
          <w:b w:val="0"/>
          <w:i w:val="0"/>
          <w:color w:val="000000"/>
          <w:sz w:val="14"/>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4"/>
          <w:u w:val="none"/>
        </w:rPr>
        <w:t>toespraak. Gesig omhels. __HOU_0__</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