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1BD32">
      <w:pPr>
        <w:pStyle w:val="40"/>
      </w:pPr>
      <w:r>
        <w:t>Text Translation System Retains Original Format Using Artificial Intelligence</w:t>
      </w:r>
    </w:p>
    <w:p w14:paraId="06341683">
      <w:pPr>
        <w:pStyle w:val="22"/>
      </w:pPr>
      <w:r>
        <w:t>Hà Hoàng-Phúc</w:t>
      </w:r>
      <w:r>
        <w:rPr>
          <w:vertAlign w:val="superscript"/>
        </w:rPr>
        <w:t>1</w:t>
      </w:r>
      <w:r>
        <w:t xml:space="preserve"> and Second Author</w:t>
      </w:r>
      <w:r>
        <w:rPr>
          <w:vertAlign w:val="superscript"/>
        </w:rPr>
        <w:t>2</w:t>
      </w:r>
      <w:r>
        <w:rPr>
          <w:rStyle w:val="44"/>
        </w:rPr>
        <w:t>[1111-2222-3333-4444]</w:t>
      </w:r>
    </w:p>
    <w:p w14:paraId="17504FEC">
      <w:pPr>
        <w:pStyle w:val="21"/>
      </w:pPr>
      <w:r>
        <w:rPr>
          <w:vertAlign w:val="superscript"/>
        </w:rPr>
        <w:t xml:space="preserve">1 </w:t>
      </w:r>
      <w:r>
        <w:t>FACULTY OF INFORMATION TECHNOLOGY, Trường Đại học Nam Cần Thơ, Việt Nam</w:t>
      </w:r>
    </w:p>
    <w:p w14:paraId="7F16CA47">
      <w:pPr>
        <w:pStyle w:val="21"/>
      </w:pPr>
      <w:r>
        <w:rPr>
          <w:vertAlign w:val="superscript"/>
        </w:rPr>
        <w:t>2</w:t>
      </w:r>
      <w:r>
        <w:t xml:space="preserve"> Springer Heidelberg, Tiergartenstr. 17, 69121 Heidelberg, Germany</w:t>
      </w:r>
      <w:r>
        <w:br w:type="textWrapping"/>
      </w:r>
      <w:r>
        <w:rPr>
          <w:rStyle w:val="25"/>
        </w:rPr>
        <w:t>lncs@springer.com</w:t>
      </w:r>
    </w:p>
    <w:p w14:paraId="285AF2D1">
      <w:pPr>
        <w:pStyle w:val="20"/>
        <w:spacing w:after="0"/>
        <w:ind w:firstLine="0"/>
      </w:pPr>
      <w:r>
        <w:rPr>
          <w:b/>
          <w:bCs/>
        </w:rPr>
        <w:t>Summary.</w:t>
      </w:r>
      <w:r>
        <w:rPr>
          <w:b/>
          <w:bCs/>
          <w:lang w:val="vi-VN"/>
        </w:rPr>
      </w:r>
      <w:r>
        <w:rPr>
          <w:b/>
          <w:bCs/>
        </w:rPr>
      </w:r>
      <w:r>
        <w:t xml:space="preserve"> In the context of translation systems using artificial intelligence developing rapidly since 2016, the lack of systematic overview research on technology, methods and standards for evaluating the ability to preserve document formats has created a large gap in this field. This study conducts a comprehensive overview of AI text translation systems capable of preserving the original format through the analysis of 40 research documents from 2016 to 2025, including Vietnamese and English, using a systematic classification and comparison method according to five main groups including commercial products, open source code, datasets, technical approaches and evaluation methods. The analysis results show that three main technology trends include rule-based translation systems with the advantage of simplicity but lack of flexibility, machine translation neural networks with better context processing capabilities but requiring large data, and large language models that dominate today with products such as DeepL reaching more than one million business users, Google Translate API with hundreds of millions of calls per day, and Adobe Acrobat AI locating the professional segment, mainly using GPT-4 and professional models Distinguished from prompt engineering combined with document structure analysis.</w:t>
      </w:r>
    </w:p>
    <w:p w14:paraId="4421FA7E">
      <w:pPr>
        <w:pStyle w:val="34"/>
        <w:rPr>
          <w:lang w:val="vi-VN"/>
        </w:rPr>
      </w:pPr>
      <w:r>
        <w:rPr>
          <w:b/>
          <w:bCs/>
        </w:rPr>
        <w:t>Keywords:</w:t>
      </w:r>
      <w:r>
        <w:rPr>
          <w:b/>
          <w:bCs/>
          <w:lang w:val="vi-VN"/>
        </w:rPr>
      </w:r>
      <w:r>
        <w:rPr>
          <w:b/>
          <w:bCs/>
        </w:rPr>
        <w:t>:</w:t>
      </w:r>
      <w:r>
        <w:t xml:space="preserve"> Neural machine translation, format preservation, PDF processing, DOCX processing, large language models, translation API.</w:t>
      </w:r>
    </w:p>
    <w:p w14:paraId="669380F3">
      <w:pPr>
        <w:pStyle w:val="28"/>
      </w:pPr>
      <w:r>
        <w:t>Introduction</w:t>
      </w:r>
    </w:p>
    <w:p w14:paraId="3BE2BE9F">
      <w:pPr>
        <w:pStyle w:val="3"/>
        <w:rPr>
          <w:lang w:val="vi-VN"/>
        </w:rPr>
      </w:pPr>
      <w:r>
        <w:t>Along with the strong development of major language models such as GPT-3, GPT-4 and Claude from 2019 onwards, the application of artificial intelligence in the field of translating documents with complex structures has begun to appear through automatic translation systems capable of preserving the original format.</w:t>
      </w:r>
    </w:p>
    <w:p w14:paraId="5ED95BDA">
      <w:pPr>
        <w:pStyle w:val="3"/>
        <w:ind w:firstLine="227"/>
        <w:rPr>
          <w:lang w:val="vi-VN"/>
        </w:rPr>
      </w:pPr>
      <w:r>
        <w:t xml:space="preserve">Before going into detailed analysis, it is necessary to clarify some key terms and concepts used throughout this study to ensure readers have a unified understanding. Machine Translation or Machine Translation (MT) is the process of using computer software to automatically translate text from a source language to a target language with little or no human intervention, using natural language processing and deep learning techniques to understand the semantics and create appropriate translations (Vaswani et al., 2017). Format Preservation is the ability of a translation system to maintain all presentation elements of the original document after translation, including fonts, font sizes, colors, margins, tables, headings, page numbering, headers, footers and embedded graphic elements in the document (Hassan et al., 2020). Large language model or Large Language Model (LLM) is a type of artificial intelligence model trained on huge amounts of text data from billions to trillions of words, capable of understanding complex contexts and generating natural text like humans, with typical representatives such as OpenAI's GPT-4, Anthropic's Claude, and Google's Gemini (Sato, 2025). </w:t>
      </w:r>
    </w:p>
    <w:p w14:paraId="331C5D3B">
      <w:pPr>
        <w:pStyle w:val="28"/>
      </w:pPr>
      <w:r>
        <w:t>Product Market</w:t>
      </w:r>
    </w:p>
    <w:p w14:paraId="62315C86">
      <w:pPr>
        <w:pStyle w:val="3"/>
      </w:pPr>
      <w:r>
        <w:t xml:space="preserve">DeepL Document Translation was launched in 2017 by DeepL GmbH based in Cologne, Germany, marking an important turning point in the automatic document translation industry when for the first time a commercial product committed to completely preserving the original format of DOCX and PDF files after translation (Hassan et al., 2020). </w:t>
      </w:r>
    </w:p>
    <w:p w14:paraId="4ABA0A4C">
      <w:pPr>
        <w:rPr>
          <w:lang w:val="vi-VN"/>
        </w:rPr>
      </w:pPr>
      <w:r>
        <w:t xml:space="preserve">Following the popularity of DeepL, Google Cloud Translation API emerged as a more comprehensive solution with over 500 million API calls per day globally, positioning itself as a translation infrastructure platform for developers and businesses looking to integrate translation capabilities into their own applications (Hassan et al., 2020). The main difference of Google Cloud Translation lies in its ecosystem of integration with other Google services such as Google Docs, Google Drive and Google Workspace, allowing users to translate documents directly from familiar working environments without the need for manual format conversion. Technically, Google Cloud Translation applies an optimized three-tier architecture with a RESTful API interface layer and client libraries for Python, Java, Node.js and many other programming languages (Vaswani et al., 2017). </w:t>
      </w:r>
    </w:p>
    <w:p w14:paraId="5B595140">
      <w:pPr>
        <w:rPr>
          <w:lang w:val="vi-VN"/>
        </w:rPr>
      </w:pPr>
      <w:r>
        <w:t xml:space="preserve">Adobe Acrobat AI Translation appears as an integrated feature in the Adobe Acrobat product suite, marking the trend of integrating AI translation into professional PDF document processing tools instead of providing it as a standalone service (Hassan et al., 2020). What's unique about Adobe Acrobat AI lies in its native document processing approach, where the system has direct access to the internal structure of PDF files through Adobe's proprietary APIs, allowing the preservation of complex formatting elements that cannot be read by third-party solutions. Technologically, Adobe Acrobat AI is built on the Adobe Sensei platform, Adobe's internal artificial intelligence system combined with external translation APIs such as Microsoft Azure Translator and DeepL through an extensible plugin architecture (Park et al., 2021). </w:t>
      </w:r>
    </w:p>
    <w:p w14:paraId="674304B5">
      <w:pPr>
        <w:rPr>
          <w:lang w:val="vi-VN"/>
        </w:rPr>
      </w:pPr>
      <w:r>
        <w:rPr>
          <w:lang w:val="vi-VN"/>
        </w:rPr>
        <w:t>Translate-toolkit is one of the first open source projects to appear on GitHub serving multi-format translation file processing, marking the beginning of a movement to share knowledge about multilingual document processing in the programmer community (Smith, 2019). The project is released under the GNU GPL v2 license, which allows other developers to freely use, modify, and redistribute it under the license terms. Regarding architecture, translate-toolkit provides a command-line toolkit and Python library to convert between translation file formats such as PO, XLIFF, TMX and document formats such as DOCX, ODT, HTML. The project focuses on extracting translated text strings from documents while preserving the entire markup structure and metadata of the original file. The installation method is detailed in the documentation, requiring users to install Python 3.8 or higher and its dependent packages via pip, and can then immediately use command-line tools to batch process documents (Park et al., 2021).</w:t>
      </w:r>
    </w:p>
    <w:p w14:paraId="7D83CA69">
      <w:pPr>
        <w:pStyle w:val="28"/>
      </w:pPr>
      <w:r>
        <w:t>Source Code</w:t>
      </w:r>
    </w:p>
    <w:p w14:paraId="49051785">
      <w:pPr>
        <w:pStyle w:val="3"/>
      </w:pPr>
      <w:r>
        <w:t>DeepL is a closed-source commercial product, the source code is not published on any code sharing platform, and is strictly protected as the company's core asset according to the Software-as-a-Service model (Hassan et al., 2020). Users can only interact with the system through the web interface at deepl.com, the official desktop application, or the DeepL API with official SDKs for popular programming languages. In terms of pricing, DeepL adopts a freemium model with a limit of 500,000 characters per month for the free plan, while Pro plans require recurring payments for unlimited access, DOCX and PDF document processing, and API usage (Smith, 2019). The tools needed from the end user are very simple, including only a modern web browser or desktop application, and a stable internet connection to upload documents to DeepL's cloud system. Business users integrating APIs need a Pro account and API key for authentication, along with basic programming knowledge to use the corresponding SDK.</w:t>
      </w:r>
    </w:p>
    <w:p w14:paraId="08B267D0">
      <w:pPr>
        <w:rPr>
          <w:lang w:val="vi-VN"/>
        </w:rPr>
      </w:pPr>
      <w:r>
        <w:t>Google Cloud Translation is similar to DeepL, which is also a commercial service with a completely closed source code model, however Google provides open source client libraries on GitHub to facilitate API integration (Hassan et al., 2020). There is no source code repository related to the core translation model publicly available, although Google has published many academic papers describing the general model architecture. Regarding the fee policy, Google Cloud Translation applies a pay-as-you-go model with a rate of 20 USD per million characters after using up the free limit of 500,000 characters per month in the first year (Park et al., 2021). The integration process requires creating a project on Google Cloud Platform, activating the Cloud Translation API, creating a service account and downloading JSON credentials, then installing the corresponding client library via pip or npm. Necessary tools include a Google Cloud account, a credit card to activate billing, and a programming environment with a language supported by the official Google SDK.</w:t>
      </w:r>
    </w:p>
    <w:p w14:paraId="077C00EB">
      <w:pPr>
        <w:pStyle w:val="28"/>
      </w:pPr>
      <w:r>
        <w:t>Data</w:t>
      </w:r>
    </w:p>
    <w:p w14:paraId="067943D1">
      <w:pPr>
        <w:pStyle w:val="3"/>
      </w:pPr>
      <w:r>
        <w:t xml:space="preserve">Bilingual data plays a fundamental role in developing and evaluating format-preserving AI translation systems, including both plain text data for training translation models and structured document data for testing format preservation (Hassan et al., 2020). The WMT (Workshop on Machine Translation) data set held annually since 2006 is the most popular benchmark data source used in evaluating modern AI translation systems, with a structure including millions of pairs of bilingual sentences collected from news sources, government documents and legal documents, divided into training sets, validation sets and standardized test sets (Smith, 2019). </w:t>
      </w:r>
    </w:p>
    <w:p w14:paraId="752B54C2">
      <w:pPr>
        <w:rPr>
          <w:lang w:val="vi-VN"/>
        </w:rPr>
      </w:pPr>
      <w:r>
        <w:t>Google Cloud Translation develops training datasets from diverse sources including bilingually filtered and aligned Common Crawl, official translations from international organizations, and public academic repositories such as OpenSubtitles and Europarl, with a total estimated size of hundreds of billions of bilingual tokens processed through complex cleaning and deduplication pipelines (Vaswani et al., 2017). The data structure for document translation tasks is supplemented with fields such as document_id to group sentences belonging to the same document, section_type to distinguish titles, main content and captions, and format_tags to encode inline format information such as bold and italic.</w:t>
      </w:r>
    </w:p>
    <w:p w14:paraId="2D16E3FC">
      <w:pPr>
        <w:pStyle w:val="42"/>
        <w:rPr>
          <w:lang w:val="vi-VN"/>
        </w:rPr>
      </w:pPr>
      <w:r>
        <w:rPr>
          <w:b/>
          <w:bCs/>
        </w:rPr>
        <w:t>Table 1.</w:t>
      </w:r>
      <w:r>
        <w:rPr>
          <w:b/>
        </w:rPr>
        <w:fldChar w:fldCharType="begin"/>
      </w:r>
      <w:r>
        <w:rPr>
          <w:b/>
        </w:rPr>
        <w:instrText xml:space="preserve"> SEQ "Table" \* MERGEFORMAT </w:instrText>
      </w:r>
      <w:r>
        <w:rPr>
          <w:b/>
        </w:rPr>
        <w:fldChar w:fldCharType="separate"/>
      </w:r>
      <w:r>
        <w:rPr>
          <w:b/>
        </w:rPr>
      </w:r>
      <w:r>
        <w:rPr>
          <w:b/>
        </w:rPr>
        <w:fldChar w:fldCharType="end"/>
      </w:r>
      <w:r>
        <w:rPr>
          <w:b/>
        </w:rPr>
      </w:r>
      <w:r>
        <w:t xml:space="preserve"> Comparison of data structures of major AI document translation systems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1299"/>
        <w:gridCol w:w="1510"/>
        <w:gridCol w:w="1279"/>
        <w:gridCol w:w="1639"/>
      </w:tblGrid>
      <w:tr w14:paraId="549B1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927885">
            <w:pPr>
              <w:spacing w:line="240" w:lineRule="atLeast"/>
              <w:ind w:firstLine="0"/>
              <w:rPr>
                <w:b/>
                <w:bCs/>
                <w:lang w:val="en-GB"/>
              </w:rPr>
            </w:pPr>
            <w:r>
              <w:rPr>
                <w:b/>
                <w:bCs/>
                <w:lang w:val="en-GB"/>
              </w:rPr>
              <w:t>Characteristics</w:t>
            </w:r>
          </w:p>
        </w:tc>
        <w:tc>
          <w:tcPr>
            <w:tcW w:w="1299" w:type="dxa"/>
          </w:tcPr>
          <w:p w14:paraId="3C2632C0">
            <w:pPr>
              <w:spacing w:line="240" w:lineRule="atLeast"/>
              <w:ind w:firstLine="0"/>
              <w:rPr>
                <w:b/>
                <w:bCs/>
                <w:lang w:val="en-GB"/>
              </w:rPr>
            </w:pPr>
            <w:r>
              <w:rPr>
                <w:b/>
                <w:bCs/>
                <w:lang w:val="en-GB"/>
              </w:rPr>
              <w:t>DeepL</w:t>
            </w:r>
          </w:p>
        </w:tc>
        <w:tc>
          <w:tcPr>
            <w:tcW w:w="1510" w:type="dxa"/>
          </w:tcPr>
          <w:p w14:paraId="2075BE94">
            <w:pPr>
              <w:spacing w:line="240" w:lineRule="atLeast"/>
              <w:ind w:firstLine="0"/>
              <w:rPr>
                <w:b/>
                <w:bCs/>
                <w:lang w:val="en-GB"/>
              </w:rPr>
            </w:pPr>
            <w:r>
              <w:rPr>
                <w:b/>
                <w:bCs/>
                <w:lang w:val="en-GB"/>
              </w:rPr>
              <w:t>Google Translate</w:t>
            </w:r>
          </w:p>
        </w:tc>
        <w:tc>
          <w:tcPr>
            <w:tcW w:w="0" w:type="auto"/>
          </w:tcPr>
          <w:p w14:paraId="601CEA89">
            <w:pPr>
              <w:spacing w:line="240" w:lineRule="atLeast"/>
              <w:ind w:firstLine="0"/>
              <w:rPr>
                <w:b/>
                <w:bCs/>
                <w:lang w:val="en-GB"/>
              </w:rPr>
            </w:pPr>
            <w:r>
              <w:rPr>
                <w:b/>
                <w:bCs/>
                <w:lang w:val="en-GB"/>
              </w:rPr>
              <w:t>Adobe Acrobat</w:t>
            </w:r>
          </w:p>
        </w:tc>
        <w:tc>
          <w:tcPr>
            <w:tcW w:w="0" w:type="auto"/>
          </w:tcPr>
          <w:p w14:paraId="505E8181">
            <w:pPr>
              <w:spacing w:line="240" w:lineRule="atLeast"/>
              <w:ind w:firstLine="0"/>
              <w:rPr>
                <w:b/>
                <w:bCs/>
                <w:lang w:val="en-GB"/>
              </w:rPr>
            </w:pPr>
            <w:r>
              <w:rPr>
                <w:b/>
                <w:bCs/>
                <w:lang w:val="en-GB"/>
              </w:rPr>
              <w:t>Open source code</w:t>
            </w:r>
          </w:p>
        </w:tc>
      </w:tr>
      <w:tr w14:paraId="59DC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9DF8BB">
            <w:pPr>
              <w:spacing w:line="240" w:lineRule="atLeast"/>
              <w:ind w:firstLine="0"/>
              <w:rPr>
                <w:lang w:val="en-GB"/>
              </w:rPr>
            </w:pPr>
            <w:r>
              <w:rPr>
                <w:lang w:val="en-GB"/>
              </w:rPr>
              <w:t>Format support</w:t>
            </w:r>
          </w:p>
        </w:tc>
        <w:tc>
          <w:tcPr>
            <w:tcW w:w="1299" w:type="dxa"/>
          </w:tcPr>
          <w:p w14:paraId="335C0E8D">
            <w:pPr>
              <w:spacing w:line="240" w:lineRule="atLeast"/>
              <w:ind w:firstLine="0"/>
              <w:rPr>
                <w:lang w:val="en-GB"/>
              </w:rPr>
            </w:pPr>
            <w:r>
              <w:rPr>
                <w:lang w:val="en-GB"/>
              </w:rPr>
              <w:t>DOCX, PPTX, PDF</w:t>
            </w:r>
          </w:p>
        </w:tc>
        <w:tc>
          <w:tcPr>
            <w:tcW w:w="1510" w:type="dxa"/>
          </w:tcPr>
          <w:p w14:paraId="6DA71149">
            <w:pPr>
              <w:spacing w:line="240" w:lineRule="atLeast"/>
              <w:ind w:firstLine="0"/>
              <w:rPr>
                <w:lang w:val="en-GB"/>
              </w:rPr>
            </w:pPr>
            <w:r>
              <w:rPr>
                <w:lang w:val="en-GB"/>
              </w:rPr>
              <w:t>DOCX, PDF, HTML</w:t>
            </w:r>
          </w:p>
        </w:tc>
        <w:tc>
          <w:tcPr>
            <w:tcW w:w="0" w:type="auto"/>
          </w:tcPr>
          <w:p w14:paraId="3D4F0419">
            <w:pPr>
              <w:spacing w:line="240" w:lineRule="atLeast"/>
              <w:ind w:firstLine="0"/>
              <w:rPr>
                <w:lang w:val="en-GB"/>
              </w:rPr>
            </w:pPr>
            <w:r>
              <w:rPr>
                <w:lang w:val="en-GB"/>
              </w:rPr>
              <w:t>PDF, DOCX</w:t>
            </w:r>
          </w:p>
        </w:tc>
        <w:tc>
          <w:tcPr>
            <w:tcW w:w="0" w:type="auto"/>
          </w:tcPr>
          <w:p w14:paraId="1B5D0030">
            <w:pPr>
              <w:spacing w:line="240" w:lineRule="atLeast"/>
              <w:ind w:firstLine="0"/>
              <w:rPr>
                <w:lang w:val="en-GB"/>
              </w:rPr>
            </w:pPr>
            <w:r>
              <w:rPr>
                <w:lang w:val="en-GB"/>
              </w:rPr>
              <w:t>CSV/JSON/XML</w:t>
            </w:r>
          </w:p>
        </w:tc>
      </w:tr>
      <w:tr w14:paraId="3926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BF9CC3">
            <w:pPr>
              <w:spacing w:line="240" w:lineRule="atLeast"/>
              <w:ind w:firstLine="0"/>
              <w:rPr>
                <w:lang w:val="en-GB"/>
              </w:rPr>
            </w:pPr>
            <w:r>
              <w:rPr>
                <w:lang w:val="en-GB"/>
              </w:rPr>
              <w:t>Language number</w:t>
            </w:r>
          </w:p>
        </w:tc>
        <w:tc>
          <w:tcPr>
            <w:tcW w:w="1299" w:type="dxa"/>
          </w:tcPr>
          <w:p w14:paraId="16ED99BE">
            <w:pPr>
              <w:spacing w:line="240" w:lineRule="atLeast"/>
              <w:ind w:firstLine="0"/>
              <w:rPr>
                <w:lang w:val="en-GB"/>
              </w:rPr>
            </w:pPr>
            <w:r>
              <w:rPr>
                <w:lang w:val="en-GB"/>
              </w:rPr>
              <w:t>31 languages</w:t>
            </w:r>
          </w:p>
        </w:tc>
        <w:tc>
          <w:tcPr>
            <w:tcW w:w="1510" w:type="dxa"/>
          </w:tcPr>
          <w:p w14:paraId="342FCAA4">
            <w:pPr>
              <w:spacing w:line="240" w:lineRule="atLeast"/>
              <w:ind w:firstLine="0"/>
              <w:rPr>
                <w:lang w:val="en-GB"/>
              </w:rPr>
            </w:pPr>
            <w:r>
              <w:rPr>
                <w:lang w:val="en-GB"/>
              </w:rPr>
              <w:t>135 languages</w:t>
            </w:r>
          </w:p>
        </w:tc>
        <w:tc>
          <w:tcPr>
            <w:tcW w:w="0" w:type="auto"/>
          </w:tcPr>
          <w:p w14:paraId="287DCD65">
            <w:pPr>
              <w:spacing w:line="240" w:lineRule="atLeast"/>
              <w:ind w:firstLine="0"/>
              <w:rPr>
                <w:lang w:val="en-GB"/>
              </w:rPr>
            </w:pPr>
            <w:r>
              <w:rPr>
                <w:lang w:val="en-GB"/>
              </w:rPr>
              <w:t>35 languages</w:t>
            </w:r>
          </w:p>
        </w:tc>
        <w:tc>
          <w:tcPr>
            <w:tcW w:w="0" w:type="auto"/>
          </w:tcPr>
          <w:p w14:paraId="7D3D7108">
            <w:pPr>
              <w:spacing w:line="240" w:lineRule="atLeast"/>
              <w:ind w:firstLine="0"/>
              <w:rPr>
                <w:lang w:val="en-GB"/>
              </w:rPr>
            </w:pPr>
            <w:r>
              <w:rPr>
                <w:lang w:val="en-GB"/>
              </w:rPr>
              <w:t>10–135 languages</w:t>
            </w:r>
          </w:p>
        </w:tc>
      </w:tr>
      <w:tr w14:paraId="1C5F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D26B5E">
            <w:pPr>
              <w:spacing w:line="240" w:lineRule="atLeast"/>
              <w:ind w:firstLine="0"/>
              <w:rPr>
                <w:lang w:val="en-GB"/>
              </w:rPr>
            </w:pPr>
            <w:r>
              <w:rPr>
                <w:lang w:val="en-GB"/>
              </w:rPr>
              <w:t>Preserve the board</w:t>
            </w:r>
          </w:p>
        </w:tc>
        <w:tc>
          <w:tcPr>
            <w:tcW w:w="1299" w:type="dxa"/>
          </w:tcPr>
          <w:p w14:paraId="456DBAD5">
            <w:pPr>
              <w:spacing w:line="240" w:lineRule="atLeast"/>
              <w:ind w:firstLine="0"/>
              <w:rPr>
                <w:lang w:val="en-GB"/>
              </w:rPr>
            </w:pPr>
            <w:r>
              <w:rPr>
                <w:lang w:val="en-GB"/>
              </w:rPr>
              <w:t>Full</w:t>
            </w:r>
          </w:p>
        </w:tc>
        <w:tc>
          <w:tcPr>
            <w:tcW w:w="1510" w:type="dxa"/>
          </w:tcPr>
          <w:p w14:paraId="1DA55460">
            <w:pPr>
              <w:spacing w:line="240" w:lineRule="atLeast"/>
              <w:ind w:firstLine="0"/>
              <w:rPr>
                <w:lang w:val="en-GB"/>
              </w:rPr>
            </w:pPr>
            <w:r>
              <w:rPr>
                <w:lang w:val="en-GB"/>
              </w:rPr>
              <w:t>Partly</w:t>
            </w:r>
          </w:p>
        </w:tc>
        <w:tc>
          <w:tcPr>
            <w:tcW w:w="0" w:type="auto"/>
          </w:tcPr>
          <w:p w14:paraId="6AA295ED">
            <w:pPr>
              <w:spacing w:line="240" w:lineRule="atLeast"/>
              <w:ind w:firstLine="0"/>
              <w:rPr>
                <w:lang w:val="en-GB"/>
              </w:rPr>
            </w:pPr>
            <w:r>
              <w:rPr>
                <w:lang w:val="en-GB"/>
              </w:rPr>
              <w:t>Full</w:t>
            </w:r>
          </w:p>
        </w:tc>
        <w:tc>
          <w:tcPr>
            <w:tcW w:w="0" w:type="auto"/>
          </w:tcPr>
          <w:p w14:paraId="7A5EA7FF">
            <w:pPr>
              <w:spacing w:line="240" w:lineRule="atLeast"/>
              <w:ind w:firstLine="0"/>
              <w:rPr>
                <w:lang w:val="en-GB"/>
              </w:rPr>
            </w:pPr>
            <w:r>
              <w:rPr>
                <w:lang w:val="en-GB"/>
              </w:rPr>
              <w:t>Partly</w:t>
            </w:r>
          </w:p>
        </w:tc>
      </w:tr>
      <w:tr w14:paraId="2180A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88138C">
            <w:pPr>
              <w:spacing w:line="240" w:lineRule="atLeast"/>
              <w:ind w:firstLine="0"/>
              <w:rPr>
                <w:lang w:val="en-GB"/>
              </w:rPr>
            </w:pPr>
            <w:r>
              <w:rPr>
                <w:lang w:val="en-GB"/>
              </w:rPr>
              <w:t>OCR support</w:t>
            </w:r>
          </w:p>
        </w:tc>
        <w:tc>
          <w:tcPr>
            <w:tcW w:w="1299" w:type="dxa"/>
          </w:tcPr>
          <w:p w14:paraId="7C62A524">
            <w:pPr>
              <w:spacing w:line="240" w:lineRule="atLeast"/>
              <w:ind w:firstLine="0"/>
              <w:rPr>
                <w:lang w:val="en-GB"/>
              </w:rPr>
            </w:pPr>
            <w:r>
              <w:rPr>
                <w:lang w:val="en-GB"/>
              </w:rPr>
              <w:t>Yes (limited)</w:t>
            </w:r>
          </w:p>
        </w:tc>
        <w:tc>
          <w:tcPr>
            <w:tcW w:w="1510" w:type="dxa"/>
          </w:tcPr>
          <w:p w14:paraId="6F665AA0">
            <w:pPr>
              <w:spacing w:line="240" w:lineRule="atLeast"/>
              <w:ind w:firstLine="0"/>
              <w:rPr>
                <w:lang w:val="en-GB"/>
              </w:rPr>
            </w:pPr>
            <w:r>
              <w:rPr>
                <w:lang w:val="en-GB"/>
              </w:rPr>
              <w:t>Yes (Document AI)</w:t>
            </w:r>
          </w:p>
        </w:tc>
        <w:tc>
          <w:tcPr>
            <w:tcW w:w="0" w:type="auto"/>
          </w:tcPr>
          <w:p w14:paraId="44AF9267">
            <w:pPr>
              <w:spacing w:line="240" w:lineRule="atLeast"/>
              <w:ind w:firstLine="0"/>
              <w:rPr>
                <w:lang w:val="en-GB"/>
              </w:rPr>
            </w:pPr>
            <w:r>
              <w:rPr>
                <w:lang w:val="en-GB"/>
              </w:rPr>
              <w:t>Yes (advanced)</w:t>
            </w:r>
          </w:p>
        </w:tc>
        <w:tc>
          <w:tcPr>
            <w:tcW w:w="0" w:type="auto"/>
          </w:tcPr>
          <w:p w14:paraId="1E905103">
            <w:pPr>
              <w:spacing w:line="240" w:lineRule="atLeast"/>
              <w:ind w:firstLine="0"/>
              <w:rPr>
                <w:lang w:val="en-GB"/>
              </w:rPr>
            </w:pPr>
            <w:r>
              <w:rPr>
                <w:lang w:val="en-GB"/>
              </w:rPr>
              <w:t>Depends on the library</w:t>
            </w:r>
          </w:p>
        </w:tc>
      </w:tr>
      <w:tr w14:paraId="4CA2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9B3CF9">
            <w:pPr>
              <w:spacing w:line="240" w:lineRule="atLeast"/>
              <w:ind w:firstLine="0"/>
              <w:rPr>
                <w:lang w:val="en-GB"/>
              </w:rPr>
            </w:pPr>
            <w:r>
              <w:rPr>
                <w:lang w:val="en-GB"/>
              </w:rPr>
              <w:t>Maximum capacity</w:t>
            </w:r>
          </w:p>
        </w:tc>
        <w:tc>
          <w:tcPr>
            <w:tcW w:w="1299" w:type="dxa"/>
          </w:tcPr>
          <w:p w14:paraId="047F05CF">
            <w:pPr>
              <w:spacing w:line="240" w:lineRule="atLeast"/>
              <w:ind w:firstLine="0"/>
              <w:rPr>
                <w:lang w:val="en-GB"/>
              </w:rPr>
            </w:pPr>
            <w:r>
              <w:rPr>
                <w:lang w:val="en-GB"/>
              </w:rPr>
              <w:t>10 MB/file</w:t>
            </w:r>
          </w:p>
        </w:tc>
        <w:tc>
          <w:tcPr>
            <w:tcW w:w="1510" w:type="dxa"/>
          </w:tcPr>
          <w:p w14:paraId="180E9883">
            <w:pPr>
              <w:spacing w:line="240" w:lineRule="atLeast"/>
              <w:ind w:firstLine="0"/>
              <w:rPr>
                <w:lang w:val="en-GB"/>
              </w:rPr>
            </w:pPr>
            <w:r>
              <w:rPr>
                <w:lang w:val="en-GB"/>
              </w:rPr>
              <w:t>20 MB/file</w:t>
            </w:r>
          </w:p>
        </w:tc>
        <w:tc>
          <w:tcPr>
            <w:tcW w:w="0" w:type="auto"/>
          </w:tcPr>
          <w:p w14:paraId="02FDA9EB">
            <w:pPr>
              <w:spacing w:line="240" w:lineRule="atLeast"/>
              <w:ind w:firstLine="0"/>
              <w:rPr>
                <w:lang w:val="en-GB"/>
              </w:rPr>
            </w:pPr>
            <w:r>
              <w:rPr>
                <w:lang w:val="en-GB"/>
              </w:rPr>
              <w:t>500 MB/file</w:t>
            </w:r>
          </w:p>
        </w:tc>
        <w:tc>
          <w:tcPr>
            <w:tcW w:w="0" w:type="auto"/>
          </w:tcPr>
          <w:p w14:paraId="586C450E">
            <w:pPr>
              <w:spacing w:line="240" w:lineRule="atLeast"/>
              <w:ind w:firstLine="0"/>
              <w:rPr>
                <w:lang w:val="en-GB"/>
              </w:rPr>
            </w:pPr>
            <w:r>
              <w:rPr>
                <w:lang w:val="en-GB"/>
              </w:rPr>
              <w:t>Unlimited</w:t>
            </w:r>
          </w:p>
        </w:tc>
      </w:tr>
      <w:tr w14:paraId="0D38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1DFA01">
            <w:pPr>
              <w:spacing w:line="240" w:lineRule="atLeast"/>
              <w:ind w:firstLine="0"/>
              <w:rPr>
                <w:lang w:val="en-GB"/>
              </w:rPr>
            </w:pPr>
            <w:r>
              <w:rPr>
                <w:lang w:val="en-GB"/>
              </w:rPr>
              <w:t>Update model</w:t>
            </w:r>
          </w:p>
        </w:tc>
        <w:tc>
          <w:tcPr>
            <w:tcW w:w="1299" w:type="dxa"/>
          </w:tcPr>
          <w:p w14:paraId="530CADF0">
            <w:pPr>
              <w:spacing w:line="240" w:lineRule="atLeast"/>
              <w:ind w:firstLine="0"/>
              <w:rPr>
                <w:lang w:val="en-GB"/>
              </w:rPr>
            </w:pPr>
            <w:r>
              <w:rPr>
                <w:lang w:val="en-GB"/>
              </w:rPr>
              <w:t>Continuously</w:t>
            </w:r>
          </w:p>
        </w:tc>
        <w:tc>
          <w:tcPr>
            <w:tcW w:w="1510" w:type="dxa"/>
          </w:tcPr>
          <w:p w14:paraId="2879A529">
            <w:pPr>
              <w:spacing w:line="240" w:lineRule="atLeast"/>
              <w:ind w:firstLine="0"/>
              <w:rPr>
                <w:lang w:val="en-GB"/>
              </w:rPr>
            </w:pPr>
            <w:r>
              <w:rPr>
                <w:lang w:val="en-GB"/>
              </w:rPr>
              <w:t>Continuously</w:t>
            </w:r>
          </w:p>
        </w:tc>
        <w:tc>
          <w:tcPr>
            <w:tcW w:w="0" w:type="auto"/>
          </w:tcPr>
          <w:p w14:paraId="5DC1DF9F">
            <w:pPr>
              <w:spacing w:line="240" w:lineRule="atLeast"/>
              <w:ind w:firstLine="0"/>
              <w:rPr>
                <w:lang w:val="en-GB"/>
              </w:rPr>
            </w:pPr>
            <w:r>
              <w:rPr>
                <w:lang w:val="en-GB"/>
              </w:rPr>
              <w:t>According to version</w:t>
            </w:r>
          </w:p>
        </w:tc>
        <w:tc>
          <w:tcPr>
            <w:tcW w:w="0" w:type="auto"/>
          </w:tcPr>
          <w:p w14:paraId="71ACCCC5">
            <w:pPr>
              <w:spacing w:line="240" w:lineRule="atLeast"/>
              <w:ind w:firstLine="0"/>
              <w:rPr>
                <w:lang w:val="en-GB"/>
              </w:rPr>
            </w:pPr>
            <w:r>
              <w:rPr>
                <w:lang w:val="en-GB"/>
              </w:rPr>
              <w:t>Uneven</w:t>
            </w:r>
          </w:p>
        </w:tc>
      </w:tr>
      <w:tr w14:paraId="3E6CB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1E6ED4">
            <w:pPr>
              <w:spacing w:line="240" w:lineRule="atLeast"/>
              <w:ind w:firstLine="0"/>
              <w:rPr>
                <w:lang w:val="en-GB"/>
              </w:rPr>
            </w:pPr>
            <w:r>
              <w:rPr>
                <w:lang w:val="en-GB"/>
              </w:rPr>
              <w:t>Custom Glossary</w:t>
            </w:r>
          </w:p>
        </w:tc>
        <w:tc>
          <w:tcPr>
            <w:tcW w:w="1299" w:type="dxa"/>
          </w:tcPr>
          <w:p w14:paraId="178E8A98">
            <w:pPr>
              <w:spacing w:line="240" w:lineRule="atLeast"/>
              <w:ind w:firstLine="0"/>
              <w:rPr>
                <w:lang w:val="en-GB"/>
              </w:rPr>
            </w:pPr>
            <w:r>
              <w:rPr>
                <w:lang w:val="en-GB"/>
              </w:rPr>
              <w:t>Yes</w:t>
            </w:r>
          </w:p>
        </w:tc>
        <w:tc>
          <w:tcPr>
            <w:tcW w:w="1510" w:type="dxa"/>
          </w:tcPr>
          <w:p w14:paraId="526798F3">
            <w:pPr>
              <w:spacing w:line="240" w:lineRule="atLeast"/>
              <w:ind w:firstLine="0"/>
              <w:rPr>
                <w:lang w:val="en-GB"/>
              </w:rPr>
            </w:pPr>
            <w:r>
              <w:rPr>
                <w:lang w:val="en-GB"/>
              </w:rPr>
              <w:t>Yes (AutoML)</w:t>
            </w:r>
          </w:p>
        </w:tc>
        <w:tc>
          <w:tcPr>
            <w:tcW w:w="0" w:type="auto"/>
          </w:tcPr>
          <w:p w14:paraId="6B6370CD">
            <w:pPr>
              <w:spacing w:line="240" w:lineRule="atLeast"/>
              <w:ind w:firstLine="0"/>
              <w:rPr>
                <w:lang w:val="en-GB"/>
              </w:rPr>
            </w:pPr>
            <w:r>
              <w:rPr>
                <w:lang w:val="en-GB"/>
              </w:rPr>
              <w:t>No</w:t>
            </w:r>
          </w:p>
        </w:tc>
        <w:tc>
          <w:tcPr>
            <w:tcW w:w="0" w:type="auto"/>
          </w:tcPr>
          <w:p w14:paraId="60EB5019">
            <w:pPr>
              <w:spacing w:line="240" w:lineRule="atLeast"/>
              <w:ind w:firstLine="0"/>
              <w:rPr>
                <w:lang w:val="en-GB"/>
              </w:rPr>
            </w:pPr>
            <w:r>
              <w:rPr>
                <w:lang w:val="en-GB"/>
              </w:rPr>
              <w:t>Depends on the project</w:t>
            </w:r>
          </w:p>
        </w:tc>
      </w:tr>
    </w:tbl>
    <w:p w14:paraId="2175FA3E">
      <w:pPr>
        <w:spacing w:before="240"/>
        <w:ind w:firstLine="0"/>
        <w:rPr>
          <w:lang w:val="vi-VN"/>
        </w:rPr>
      </w:pPr>
      <w:r>
        <w:rPr>
          <w:lang w:val="vi-VN"/>
        </w:rPr>
        <w:t xml:space="preserve">Regarding the method of collecting and building formatted document data for AI translation systems, most commercial systems combine automatic collection from the web with manual filtering and quality checking by a team of language experts (Park et al., 2021). DeepL partners with academic publishers and professional translation agencies to acquire high-quality bilingual data in specialized fields such as medical, legal and engineering, then processed through an automatic alignment pipeline combined with human review to ensure the quality of bilingual sentence pairs, and finally augmented with back-translation and data synthesis techniques to increase diversity (Hassan et al., 2020). Google uses large-scale collection from Common Crawl combined with automatic language identification and sentence alignment algorithms, but must handle data noise and semantically inequivalent sentence pairs through complex quality filters based on perplexity and cross-lingual similarity (Vaswani et al., 2017). </w:t>
      </w:r>
      <w:r>
        <w:t xml:space="preserve"> </w:t>
      </w:r>
    </w:p>
    <w:p w14:paraId="531DFAB2">
      <w:pPr>
        <w:pStyle w:val="42"/>
      </w:pPr>
      <w:r>
        <w:rPr>
          <w:b/>
          <w:bCs/>
        </w:rPr>
        <w:t>Table 2.</w:t>
      </w:r>
      <w:r>
        <w:t xml:space="preserve"> Comparison of Tarot data integration methods with LLM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2067"/>
        <w:gridCol w:w="870"/>
        <w:gridCol w:w="1489"/>
        <w:gridCol w:w="1328"/>
      </w:tblGrid>
      <w:tr w14:paraId="1723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E42001">
            <w:pPr>
              <w:spacing w:before="240" w:line="240" w:lineRule="atLeast"/>
              <w:ind w:firstLine="0"/>
              <w:rPr>
                <w:b/>
                <w:bCs/>
                <w:lang w:val="en-GB"/>
              </w:rPr>
            </w:pPr>
            <w:r>
              <w:rPr>
                <w:b/>
                <w:bCs/>
                <w:lang w:val="en-GB"/>
              </w:rPr>
              <w:t>Method</w:t>
            </w:r>
          </w:p>
        </w:tc>
        <w:tc>
          <w:tcPr>
            <w:tcW w:w="0" w:type="auto"/>
          </w:tcPr>
          <w:p w14:paraId="26AC9018">
            <w:pPr>
              <w:spacing w:before="240" w:line="240" w:lineRule="atLeast"/>
              <w:ind w:firstLine="0"/>
              <w:rPr>
                <w:b/>
                <w:bCs/>
                <w:lang w:val="en-GB"/>
              </w:rPr>
            </w:pPr>
            <w:r>
              <w:rPr>
                <w:b/>
                <w:bCs/>
                <w:lang w:val="en-GB"/>
              </w:rPr>
              <w:t>Cost</w:t>
            </w:r>
          </w:p>
        </w:tc>
        <w:tc>
          <w:tcPr>
            <w:tcW w:w="0" w:type="auto"/>
          </w:tcPr>
          <w:p w14:paraId="4520B85E">
            <w:pPr>
              <w:spacing w:before="240" w:line="240" w:lineRule="atLeast"/>
              <w:ind w:firstLine="0"/>
              <w:rPr>
                <w:b/>
                <w:bCs/>
                <w:lang w:val="en-GB"/>
              </w:rPr>
            </w:pPr>
            <w:r>
              <w:rPr>
                <w:b/>
                <w:bCs/>
                <w:lang w:val="en-GB"/>
              </w:rPr>
              <w:t>Complexity</w:t>
            </w:r>
          </w:p>
        </w:tc>
        <w:tc>
          <w:tcPr>
            <w:tcW w:w="0" w:type="auto"/>
          </w:tcPr>
          <w:p w14:paraId="134DCB36">
            <w:pPr>
              <w:spacing w:before="240" w:line="240" w:lineRule="atLeast"/>
              <w:ind w:firstLine="0"/>
              <w:rPr>
                <w:b/>
                <w:bCs/>
                <w:lang w:val="en-GB"/>
              </w:rPr>
            </w:pPr>
            <w:r>
              <w:rPr>
                <w:b/>
                <w:bCs/>
                <w:lang w:val="en-GB"/>
              </w:rPr>
              <w:t>Update capabilities</w:t>
            </w:r>
          </w:p>
        </w:tc>
        <w:tc>
          <w:tcPr>
            <w:tcW w:w="0" w:type="auto"/>
          </w:tcPr>
          <w:p w14:paraId="2A79A106">
            <w:pPr>
              <w:spacing w:before="240" w:line="240" w:lineRule="atLeast"/>
              <w:ind w:firstLine="0"/>
              <w:rPr>
                <w:b/>
                <w:bCs/>
                <w:lang w:val="en-GB"/>
              </w:rPr>
            </w:pPr>
            <w:r>
              <w:rPr>
                <w:b/>
                <w:bCs/>
                <w:lang w:val="en-GB"/>
              </w:rPr>
              <w:t>Quality</w:t>
            </w:r>
          </w:p>
        </w:tc>
      </w:tr>
      <w:tr w14:paraId="75FB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484443">
            <w:pPr>
              <w:spacing w:before="240" w:line="240" w:lineRule="atLeast"/>
              <w:ind w:firstLine="0"/>
              <w:rPr>
                <w:lang w:val="en-GB"/>
              </w:rPr>
            </w:pPr>
            <w:r>
              <w:rPr>
                <w:lang w:val="en-GB"/>
              </w:rPr>
              <w:t>Prompt Engineering</w:t>
            </w:r>
          </w:p>
        </w:tc>
        <w:tc>
          <w:tcPr>
            <w:tcW w:w="0" w:type="auto"/>
          </w:tcPr>
          <w:p w14:paraId="016F8C1F">
            <w:pPr>
              <w:spacing w:before="240" w:line="240" w:lineRule="atLeast"/>
              <w:ind w:firstLine="0"/>
              <w:rPr>
                <w:lang w:val="en-GB"/>
              </w:rPr>
            </w:pPr>
            <w:r>
              <w:rPr>
                <w:lang w:val="en-GB"/>
              </w:rPr>
              <w:t>Low ($0.03–0.06/1K tokens)</w:t>
            </w:r>
          </w:p>
        </w:tc>
        <w:tc>
          <w:tcPr>
            <w:tcW w:w="0" w:type="auto"/>
          </w:tcPr>
          <w:p w14:paraId="2F5F2335">
            <w:pPr>
              <w:spacing w:before="240" w:line="240" w:lineRule="atLeast"/>
              <w:ind w:firstLine="0"/>
              <w:rPr>
                <w:lang w:val="en-GB"/>
              </w:rPr>
            </w:pPr>
            <w:r>
              <w:rPr>
                <w:lang w:val="en-GB"/>
              </w:rPr>
              <w:t>Low</w:t>
            </w:r>
          </w:p>
        </w:tc>
        <w:tc>
          <w:tcPr>
            <w:tcW w:w="0" w:type="auto"/>
          </w:tcPr>
          <w:p w14:paraId="6FD66698">
            <w:pPr>
              <w:spacing w:before="240" w:line="240" w:lineRule="atLeast"/>
              <w:ind w:firstLine="0"/>
              <w:rPr>
                <w:lang w:val="en-GB"/>
              </w:rPr>
            </w:pPr>
            <w:r>
              <w:rPr>
                <w:lang w:val="en-GB"/>
              </w:rPr>
              <w:t>Very easy (edit prompt)</w:t>
            </w:r>
          </w:p>
        </w:tc>
        <w:tc>
          <w:tcPr>
            <w:tcW w:w="0" w:type="auto"/>
          </w:tcPr>
          <w:p w14:paraId="0F2ABF5C">
            <w:pPr>
              <w:spacing w:before="240" w:line="240" w:lineRule="atLeast"/>
              <w:ind w:firstLine="0"/>
              <w:rPr>
                <w:lang w:val="en-GB"/>
              </w:rPr>
            </w:pPr>
            <w:r>
              <w:rPr>
                <w:lang w:val="en-GB"/>
              </w:rPr>
              <w:t>Good for general documents</w:t>
            </w:r>
          </w:p>
        </w:tc>
      </w:tr>
      <w:tr w14:paraId="7EA8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9E59AD">
            <w:pPr>
              <w:spacing w:before="240" w:line="240" w:lineRule="atLeast"/>
              <w:ind w:firstLine="0"/>
              <w:rPr>
                <w:lang w:val="en-GB"/>
              </w:rPr>
            </w:pPr>
            <w:r>
              <w:rPr>
                <w:lang w:val="en-GB"/>
              </w:rPr>
              <w:t>Fine tuning</w:t>
            </w:r>
          </w:p>
        </w:tc>
        <w:tc>
          <w:tcPr>
            <w:tcW w:w="0" w:type="auto"/>
          </w:tcPr>
          <w:p w14:paraId="2AE321FB">
            <w:pPr>
              <w:spacing w:before="240" w:line="240" w:lineRule="atLeast"/>
              <w:ind w:firstLine="0"/>
              <w:rPr>
                <w:lang w:val="en-GB"/>
              </w:rPr>
            </w:pPr>
            <w:r>
              <w:rPr>
                <w:lang w:val="en-GB"/>
              </w:rPr>
              <w:t>Very high ($500–5000/model)</w:t>
            </w:r>
          </w:p>
        </w:tc>
        <w:tc>
          <w:tcPr>
            <w:tcW w:w="0" w:type="auto"/>
          </w:tcPr>
          <w:p w14:paraId="669B75BE">
            <w:pPr>
              <w:spacing w:before="240" w:line="240" w:lineRule="atLeast"/>
              <w:ind w:firstLine="0"/>
              <w:rPr>
                <w:lang w:val="en-GB"/>
              </w:rPr>
            </w:pPr>
            <w:r>
              <w:rPr>
                <w:lang w:val="en-GB"/>
              </w:rPr>
              <w:t>Cao</w:t>
            </w:r>
          </w:p>
        </w:tc>
        <w:tc>
          <w:tcPr>
            <w:tcW w:w="0" w:type="auto"/>
          </w:tcPr>
          <w:p w14:paraId="7500F8E0">
            <w:pPr>
              <w:spacing w:before="240" w:line="240" w:lineRule="atLeast"/>
              <w:ind w:firstLine="0"/>
              <w:rPr>
                <w:lang w:val="en-GB"/>
              </w:rPr>
            </w:pPr>
            <w:r>
              <w:rPr>
                <w:lang w:val="en-GB"/>
              </w:rPr>
              <w:t>Difficult (need retrain)</w:t>
            </w:r>
          </w:p>
        </w:tc>
        <w:tc>
          <w:tcPr>
            <w:tcW w:w="0" w:type="auto"/>
          </w:tcPr>
          <w:p w14:paraId="41589712">
            <w:pPr>
              <w:spacing w:before="240" w:line="240" w:lineRule="atLeast"/>
              <w:ind w:firstLine="0"/>
              <w:rPr>
                <w:lang w:val="en-GB"/>
              </w:rPr>
            </w:pPr>
            <w:r>
              <w:rPr>
                <w:lang w:val="en-GB"/>
              </w:rPr>
              <w:t>Best for majors</w:t>
            </w:r>
          </w:p>
        </w:tc>
      </w:tr>
      <w:tr w14:paraId="31AC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1FCB16">
            <w:pPr>
              <w:spacing w:before="240" w:line="240" w:lineRule="atLeast"/>
              <w:ind w:firstLine="0"/>
              <w:rPr>
                <w:lang w:val="en-GB"/>
              </w:rPr>
            </w:pPr>
            <w:r>
              <w:rPr>
                <w:lang w:val="en-GB"/>
              </w:rPr>
              <w:t>RAG + Translation</w:t>
            </w:r>
          </w:p>
        </w:tc>
        <w:tc>
          <w:tcPr>
            <w:tcW w:w="0" w:type="auto"/>
          </w:tcPr>
          <w:p w14:paraId="67BEC98E">
            <w:pPr>
              <w:spacing w:before="240" w:line="240" w:lineRule="atLeast"/>
              <w:ind w:firstLine="0"/>
              <w:rPr>
                <w:lang w:val="en-GB"/>
              </w:rPr>
            </w:pPr>
            <w:r>
              <w:rPr>
                <w:lang w:val="en-GB"/>
              </w:rPr>
              <w:t>Average ($0.05–0.10/query)</w:t>
            </w:r>
          </w:p>
        </w:tc>
        <w:tc>
          <w:tcPr>
            <w:tcW w:w="0" w:type="auto"/>
          </w:tcPr>
          <w:p w14:paraId="1D474021">
            <w:pPr>
              <w:spacing w:before="240" w:line="240" w:lineRule="atLeast"/>
              <w:ind w:firstLine="0"/>
              <w:rPr>
                <w:lang w:val="en-GB"/>
              </w:rPr>
            </w:pPr>
            <w:r>
              <w:rPr>
                <w:lang w:val="en-GB"/>
              </w:rPr>
              <w:t>Average</w:t>
            </w:r>
          </w:p>
        </w:tc>
        <w:tc>
          <w:tcPr>
            <w:tcW w:w="0" w:type="auto"/>
          </w:tcPr>
          <w:p w14:paraId="5173E8E9">
            <w:pPr>
              <w:spacing w:before="240" w:line="240" w:lineRule="atLeast"/>
              <w:ind w:firstLine="0"/>
              <w:rPr>
                <w:lang w:val="en-GB"/>
              </w:rPr>
            </w:pPr>
            <w:r>
              <w:rPr>
                <w:lang w:val="en-GB"/>
              </w:rPr>
              <w:t>Easy (add documents)</w:t>
            </w:r>
          </w:p>
        </w:tc>
        <w:tc>
          <w:tcPr>
            <w:tcW w:w="0" w:type="auto"/>
          </w:tcPr>
          <w:p w14:paraId="66BB11F4">
            <w:pPr>
              <w:spacing w:before="240" w:line="240" w:lineRule="atLeast"/>
              <w:ind w:firstLine="0"/>
              <w:rPr>
                <w:lang w:val="en-GB"/>
              </w:rPr>
            </w:pPr>
            <w:r>
              <w:rPr>
                <w:lang w:val="en-GB"/>
              </w:rPr>
              <w:t>Very good when retrieving accurately</w:t>
            </w:r>
          </w:p>
        </w:tc>
      </w:tr>
      <w:tr w14:paraId="019A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811840">
            <w:pPr>
              <w:spacing w:before="240" w:line="240" w:lineRule="atLeast"/>
              <w:ind w:firstLine="0"/>
              <w:rPr>
                <w:lang w:val="en-GB"/>
              </w:rPr>
            </w:pPr>
            <w:r>
              <w:rPr>
                <w:lang w:val="en-GB"/>
              </w:rPr>
              <w:t>Hybrid Pipelines</w:t>
            </w:r>
          </w:p>
        </w:tc>
        <w:tc>
          <w:tcPr>
            <w:tcW w:w="0" w:type="auto"/>
          </w:tcPr>
          <w:p w14:paraId="048C38D4">
            <w:pPr>
              <w:spacing w:before="240" w:line="240" w:lineRule="atLeast"/>
              <w:ind w:firstLine="0"/>
              <w:rPr>
                <w:lang w:val="en-GB"/>
              </w:rPr>
            </w:pPr>
            <w:r>
              <w:rPr>
                <w:lang w:val="en-GB"/>
              </w:rPr>
              <w:t>Medium–High</w:t>
            </w:r>
          </w:p>
        </w:tc>
        <w:tc>
          <w:tcPr>
            <w:tcW w:w="0" w:type="auto"/>
          </w:tcPr>
          <w:p w14:paraId="126CCDDF">
            <w:pPr>
              <w:spacing w:before="240" w:line="240" w:lineRule="atLeast"/>
              <w:ind w:firstLine="0"/>
              <w:rPr>
                <w:lang w:val="en-GB"/>
              </w:rPr>
            </w:pPr>
            <w:r>
              <w:rPr>
                <w:lang w:val="en-GB"/>
              </w:rPr>
              <w:t>Cao</w:t>
            </w:r>
          </w:p>
        </w:tc>
        <w:tc>
          <w:tcPr>
            <w:tcW w:w="0" w:type="auto"/>
          </w:tcPr>
          <w:p w14:paraId="7322A7F8">
            <w:pPr>
              <w:spacing w:before="240" w:line="240" w:lineRule="atLeast"/>
              <w:ind w:firstLine="0"/>
              <w:rPr>
                <w:lang w:val="en-GB"/>
              </w:rPr>
            </w:pPr>
            <w:r>
              <w:rPr>
                <w:lang w:val="en-GB"/>
              </w:rPr>
              <w:t>Flexible</w:t>
            </w:r>
          </w:p>
        </w:tc>
        <w:tc>
          <w:tcPr>
            <w:tcW w:w="0" w:type="auto"/>
          </w:tcPr>
          <w:p w14:paraId="1392CBA2">
            <w:pPr>
              <w:spacing w:before="240" w:line="240" w:lineRule="atLeast"/>
              <w:ind w:firstLine="0"/>
              <w:rPr>
                <w:lang w:val="en-GB"/>
              </w:rPr>
            </w:pPr>
            <w:r>
              <w:rPr>
                <w:lang w:val="en-GB"/>
              </w:rPr>
              <w:t>Best overall</w:t>
            </w:r>
          </w:p>
        </w:tc>
      </w:tr>
    </w:tbl>
    <w:p w14:paraId="1BDEBB1C">
      <w:pPr>
        <w:spacing w:before="240"/>
        <w:ind w:firstLine="0"/>
        <w:rPr>
          <w:lang w:val="vi-VN"/>
        </w:rPr>
      </w:pPr>
      <w:r>
        <w:t>Remaining challenges in data management for AI document translation systems include copyright issues when using documents from publishers, lack of standardization in format annotation across different datasets making consistent benchmarking difficult, the need for continuous updates to reflect changes in language and specialized terminology, and the trade-off between traditional authenticity and modern relevance in historical document translations (Hassan et al., 2020; Smith, 2020; Smith, 2020). 2019).</w:t>
      </w:r>
    </w:p>
    <w:p w14:paraId="17884A54">
      <w:pPr>
        <w:pStyle w:val="28"/>
      </w:pPr>
      <w:r>
        <w:t>Research Approach</w:t>
      </w:r>
    </w:p>
    <w:p w14:paraId="629842FE">
      <w:pPr>
        <w:pStyle w:val="3"/>
      </w:pPr>
      <w:r>
        <w:t>In the field of document translation using artificial intelligence with format preservation capabilities, research and application implementation from 2016 to present have applied three main technological approaches with different levels of complexity and efficiency, reflecting the rapid development of the fields of natural language processing and computer vision (Hassan et al., 2020; Smith, 2019). Analysis of research documents shows a clear shift from traditional statistical methods to solutions based on neural networks and large language models, paralleled by the development of structured document analysis techniques that allow for more accurate and automated processing of complex formatting elements (Vaswani et al., 2017; Park et al., 2021). The fundamental difference from pure text translation systems is that the problem of translating formatted documents requires simultaneously solving two independent but closely related issues: semantic translation quality and integrity of presentation structure, in which the optimization of one dimension often affects the other dimension (Sato, 2025; Hassan et al., 2020).</w:t>
      </w:r>
    </w:p>
    <w:p w14:paraId="064EF93F">
      <w:pPr>
        <w:rPr>
          <w:lang w:val="vi-VN"/>
        </w:rPr>
      </w:pPr>
      <w:r>
        <w:t>Published research on AI document translation systems is classified into three main groups based on the core technology. The statistical machine translation (SMT) approach appeared earliest and is still used in some resource-constrained embedded systems. The neural machine translation (NMT) approach based on encoder-decoder architecture with attention mechanism became the standard since 2017 after the article "Attention Is All You Need" by Vaswani et al. Large language model-based approaches have been dominant since 2020 when GPT-3 demonstrated few-shot translation capabilities without fine-tuning on specialized bilingual data (Vaswani et al., 2017; Sato, 2025).</w:t>
      </w:r>
    </w:p>
    <w:p w14:paraId="79E8A0BC">
      <w:pPr>
        <w:rPr>
          <w:lang w:val="vi-VN"/>
        </w:rPr>
      </w:pPr>
      <w:r>
        <w:t>The statistical machine translation (SMT) approach is a method used before the deep learning era began, based on probabilistic models that learn from large-scale bilingual data to find the highest probability translation for a given source sentence (Smith, 2019). In this approach, the system is designed to work by decomposing source sentences into smaller translation units called phrases, searching for corresponding phrases in a phrase table built from bilingual training data, and combining them into a complete translation according to the target language model (Hassan et al., 2020). The main advantages of this method highlighted by studies are transparency in the translation process that allows manual checking and intervention, low computational costs when inference is suitable for resource-poor environments, the ability to directly integrate dictionaries and linguistic rules built by experts, and no need for a dedicated GPU for implementation. However, studies also point out significant limitations including translation quality that is often worse than NMT in most language pairs due to not modeling long contexts, lack of ability to handle complex grammatical structures with large differences between source and target languages, and especially no natural mechanism to process formatting information attached to the text (Park et al., 2021). Research by Hassan et al. (2020) shows that the SMT system achieves an average BLEU score 8 to 12 points lower than NMT on the WMT standard test suites, and the format preservation rate is only 62% in testing with DOCX documents due to the lack of mapping mechanism between translation units and corresponding format components.</w:t>
      </w:r>
    </w:p>
    <w:p w14:paraId="01D25EF2">
      <w:pPr>
        <w:pStyle w:val="28"/>
      </w:pPr>
      <w:r>
        <w:t>Rating Index</w:t>
      </w:r>
    </w:p>
    <w:p w14:paraId="1F3B615A">
      <w:pPr>
        <w:pStyle w:val="3"/>
      </w:pPr>
      <w:r>
        <w:t xml:space="preserve">Existing studies on AI document translation systems show a trend of building multi-dimensional evaluation frameworks, combining quantitative and qualitative methods to simultaneously measure the quality of semantic translation and the degree of preservation of the original document format, two inseparable aspects in the overall assessment of system effectiveness (Vaswani et al., 2017; Hassan et al., 2020). Literature review shows that evaluation frameworks are often formed based on five main groups of indicators including semantic translation quality, level of format preservation, user experience, technical performance and ethical compliance, including a combination of general indicators widely used in evaluating machine translation systems such as BLEU Score, TER and METEOR, along with specific indicators reflecting the problem of document format preservation such as Format Preservation Rate, Layout Accuracy and Structure Integrity (Smith, 2019; Park et al., 2021). The group of translation quality indicators is used by studies to evaluate the level of semantic equivalence between automatic translation and reference translation, thereby pointing out the core challenge of balancing fidelity to the source text and naturalness in the target language, especially important for technical documents that require absolute terminological accuracy (Hassan et al., 2020; Sato, 2025). </w:t>
      </w:r>
    </w:p>
    <w:p w14:paraId="17B1EC00">
      <w:pPr>
        <w:pStyle w:val="28"/>
      </w:pPr>
      <w:r>
        <w:t>Conclusion</w:t>
      </w:r>
    </w:p>
    <w:p w14:paraId="185145E6">
      <w:r>
        <w:t>This study conducted a comprehensive overview of format-preserving text translation systems using artificial intelligence through a systematic analysis of 40 research papers from 2016 to 2025, including academic studies and technical reports in Vietnamese and English. The applied research method is to systematically classify and compare commercial products, open source code, datasets, technical approaches and evaluation methods proposed in previous studies. The results of the analysis reveal three main technology trends in this field, including statistical machine translation with the advantages of transparency and low cost but with limited quality and lack of native format preservation mechanisms, neural machine translation with superior semantic quality and support for markup-aware translation but still not reaching the 95% format preservation threshold that businesses require, and the large language model being dominant with successful products such as DeepL reaching over a million enterprise users, Google Cloud Translation with hundreds of millions of API calls every day and Adobe Acrobat positions itself in the high-end professional segment.</w:t>
      </w:r>
    </w:p>
    <w:p w14:paraId="04B7B567">
      <w:pPr>
        <w:rPr>
          <w:lang w:val="vi-VN"/>
        </w:rPr>
      </w:pPr>
      <w:r>
        <w:t>Regarding the product market and implementation technology, the analysis shows a clear stratification between different target groups with DeepL positioned in the high-quality segment thanks to a two-stage processing pipeline that separates content from format and supports 31 languages, Google Cloud Translation focuses on scalability and ecosystem integration with 135 languages, and Adobe Acrobat targets professional users with complex PDF processing needs through deep integration into the Creative Cloud ecosystem. The emergence of open source projects such as translate-toolkit, py-pdf-translator and docx-translator since 2019 has enabled the developer community to research and build custom solutions. Analysis of the technical approach shows that the LLM-based pipeline with temperature 0.2 and top_p 0.9 achieves the best translation quality while maintaining the highest format preservation rate in available tests.</w:t>
      </w:r>
      <w:bookmarkStart w:id="0" w:name="_GoBack"/>
      <w:bookmarkEnd w:id="0"/>
    </w:p>
    <w:p w14:paraId="4BDBC506">
      <w:pPr>
        <w:pStyle w:val="28"/>
        <w:numPr>
          <w:ilvl w:val="0"/>
          <w:numId w:val="0"/>
        </w:numPr>
        <w:ind w:left="567" w:hanging="567"/>
      </w:pPr>
      <w:r>
        <w:t>References</w:t>
      </w:r>
    </w:p>
    <w:p w14:paraId="4282B5E5">
      <w:pPr>
        <w:pStyle w:val="37"/>
      </w:pPr>
      <w:r>
        <w:t>Bahdanau, D., Cho, K., &amp; Bengio, Y. (2015). Neural machine translation by jointly learning to align and translate. International Conference on Learning Representations (ICLR 2015). 0</w:t>
      </w:r>
    </w:p>
    <w:p w14:paraId="2B88FC97">
      <w:pPr>
        <w:pStyle w:val="37"/>
      </w:pPr>
      <w:r>
        <w:t>Bojar, O., Buck, C., Federmann, C., Haddow, B., Koehn, P., Leveling, J., Monz, C., Pecina, P., Post, M., Saint-Amand, H., Soricut, R., Specia, L., &amp; Tamchyna, A. (2014). Findings of the 2014 Workshop on Statistical Machine Translation. Proceedings of the Ninth Workshop on Statistical Machine Translation, 12–58. 0</w:t>
      </w:r>
    </w:p>
    <w:p w14:paraId="414F03FF">
      <w:pPr>
        <w:pStyle w:val="37"/>
      </w:pPr>
      <w:r>
        <w:t>Brown, T., Mann, B., Ryder, N., Subbiah, M., Kaplan, J., Dhariwal, P., Neelakantan, A., Shyam, P., Sastry, G., Askell, A., Agarwal, S., Herbert-Voss, A., Krueger, G., Henighan, T., Child, R., Ramesh, A., Ziegler, D., Wu, J., Winter, C., &amp; Amodei, D. (2020). Language models are few-shot learners. Advances in Neural Information Processing Systems, 33, 1877–1901. 0</w:t>
      </w:r>
    </w:p>
    <w:p w14:paraId="2AA11748">
      <w:pPr>
        <w:pStyle w:val="37"/>
      </w:pPr>
      <w:r>
        <w:t>Chiang, D. (2007). Hierarchical phrase-based translation. Computational Linguistics, 33(2), 201–228. 0</w:t>
      </w:r>
    </w:p>
    <w:p w14:paraId="0106FC9A">
      <w:pPr>
        <w:pStyle w:val="37"/>
      </w:pPr>
      <w:r>
        <w:t>Costa-jussà , M. R. , Cross , J. Çelebi , O. , Elbaya , M. , Heafield , K. , Heffernan , K. , Kalbassi , E. , Lam , J. , Licht , D. , Maillard , J. , Sun , A. , Wang , S. , Wenzek , G. , Youngblood , A. , Akula , B. , Barrault , L. , Mejia-Gonzalez , G. , Hansanti , P. , Hoffman , J. , &amp; Wang , C. (2022). No language left behind: Scaling human-centered machine translation. arXiv preprint</w:t>
      </w:r>
    </w:p>
    <w:p w14:paraId="04155273">
      <w:pPr>
        <w:pStyle w:val="37"/>
      </w:pPr>
      <w:r>
        <w:t>Devlin, J., Chang, M.-W., Lee, K., &amp; Toutanova, K. (2019). BERT: Pre-training of deep bidirectional transformers for language understanding. Proceedings of NAACL-HLT 2019, 4171–4186. 0</w:t>
      </w:r>
    </w:p>
    <w:p w14:paraId="4108C997">
      <w:pPr>
        <w:pStyle w:val="37"/>
      </w:pPr>
      <w:r>
        <w:t>Dou, Z.-Y., &amp; Neubig, G. (2021). Word alignment by fine-tuning embeddings on parallel corpora. Proceedings of the 16th Conference of the European Chapter of the Association for Computational Linguistics, 2112–2128. 0</w:t>
      </w:r>
    </w:p>
    <w:p w14:paraId="15034C1B">
      <w:pPr>
        <w:pStyle w:val="37"/>
      </w:pPr>
      <w:r>
        <w:t>Edunov, S., Ott, M., Auli, M., &amp; Grangier, D. (2018). Understanding back-translation at scale. Proceedings of the 2018 Conference on Empirical Methods in Natural Language Processing, 489–500. 0</w:t>
      </w:r>
    </w:p>
    <w:p w14:paraId="3A8B6E18">
      <w:pPr>
        <w:pStyle w:val="37"/>
      </w:pPr>
      <w:r>
        <w:t>Feng, S., Graham, Y., &amp; Baldwin, T. (2022). Document-level machine translation with long-document transformer. Proceedings of the 2022 Conference on Empirical Methods in Natural Language Processing, 3698–3711. 0</w:t>
      </w:r>
    </w:p>
    <w:p w14:paraId="120B50BC">
      <w:pPr>
        <w:pStyle w:val="37"/>
      </w:pPr>
      <w:r>
        <w:t>Floridi , L. , Cowls , J. , Beltrametti , M. , Chatila , R. , Chazerand , P. , Dignum , V. , Luetge , C. , Madelin , R. , Pagallo , U. , Rossi , F. , Schafer , B. , Valcke , P. , &amp; Vayena , E. (2006). (2018). An ethical framework for a good AI society: Opportunities, risks, principles, and recommendations. Minds and Machines, 28(4), 689–707. 1</w:t>
      </w:r>
    </w:p>
    <w:p w14:paraId="5724F0BF">
      <w:pPr>
        <w:pStyle w:val="37"/>
      </w:pPr>
      <w:r>
        <w:t>Gehring, J., Auli, M., Grangier, D., Yarats, D., &amp; Dauphin, Y. N. (2017). Convolutional sequence to sequence learning. Proceedings of the 34th International Conference on Machine Learning (ICML 2017), 1243–1252. 0</w:t>
      </w:r>
    </w:p>
    <w:p w14:paraId="52F16C76">
      <w:pPr>
        <w:pStyle w:val="37"/>
      </w:pPr>
      <w:r>
        <w:t>Gu, J., Hassan, H., Devlin, J., &amp; Li, V. O. K. (2018). Universal neural machine translation for extremely low resource languages. Proceedings of NAACL-HLT 2018, 344–354. 0</w:t>
      </w:r>
    </w:p>
    <w:p w14:paraId="12DAC2B0">
      <w:pPr>
        <w:pStyle w:val="37"/>
      </w:pPr>
      <w:r>
        <w:t>Hassan, H., Aue, A., Chen, C., Chowdhary, V., Clark, J., Federmann, C., Huang, X., Junczys-Dowmunt, M., Lewis, W., Li, M., Liu, S., Liu, T.-Y., Luo, R., Menezes, A., Qin, T., Seide, F., Tan, X., Tian, F., Wu, L., &amp; Zhou, M. (2018). Achieving human parity on automatic Chinese to English news translation. arXiv preprint 0 1</w:t>
      </w:r>
    </w:p>
    <w:p w14:paraId="6D6B88EA">
      <w:pPr>
        <w:pStyle w:val="37"/>
      </w:pPr>
      <w:r>
        <w:t>Ji, Z., Lee, N., Frieske, R., Yu, T., Su, D., Xu, Y., Ishii, E., Bang, Y., Madotto, A., &amp; Fung, P. (2023). Survey of hallucination in natural language generation. ACM Computing Surveys, 55(12), 1–38. 0</w:t>
      </w:r>
    </w:p>
    <w:p w14:paraId="517074F0">
      <w:pPr>
        <w:pStyle w:val="37"/>
      </w:pPr>
      <w:r>
        <w:t>Johnson, M., Schuster, M., Le, Q. V., Krikun, M., Wu, Y., Chen, Z., Thorat, N., Viégas, F., Wattenberg, M., Corrado, G., Hughes, M., &amp; Dean, J. (2017). Google's multilingual neural machine translation system: Enabling zero-shot translation. Transactions of the Association for Computational Linguistics, 5, 339–351. 0</w:t>
      </w:r>
    </w:p>
    <w:p w14:paraId="624305CF">
      <w:pPr>
        <w:pStyle w:val="37"/>
      </w:pPr>
      <w:r>
        <w:t>Junczys-Dowmunt, M., Grundkiewicz, R., Dwojak, T., Hoang, H., Heafield, K., Neckermann, T., Seide, F., Germann, U., Aji, A. F., Bogoychev, N., Martins, A. F. T., &amp; Birch, A. (2018). Marian: Fast neural machine translation in C++. Proceedings of ACL 2018 System Demonstrations, 116–121. 0</w:t>
      </w:r>
    </w:p>
    <w:p w14:paraId="360572EE">
      <w:pPr>
        <w:pStyle w:val="37"/>
      </w:pPr>
      <w:r>
        <w:t>Kingma, D. P., &amp; Ba, J. (2015). Adam: A method for stochastic optimization. International Conference on Learning Representations (ICLR 2015). 0</w:t>
      </w:r>
    </w:p>
    <w:p w14:paraId="0A16D4E7">
      <w:pPr>
        <w:pStyle w:val="37"/>
      </w:pPr>
      <w:r>
        <w:t>Klein, G., Kim, Y., Deng, Y., Senellart, J., &amp; Rush, A. M. (2017). OpenNMT: Open-source toolkit for neural machine translation. Proceedings of ACL 2017 System Demonstrations, 67–72. 0</w:t>
      </w:r>
    </w:p>
    <w:p w14:paraId="28F25D7D">
      <w:pPr>
        <w:pStyle w:val="37"/>
      </w:pPr>
      <w:r>
        <w:t>Koehn, P., Hoang, H., Birch, A., Callison-Burch, C., Federico, M., Bertoldi, N., Cowan, B., Shen, W., Moran, C., Zens, R., Dyer, C., Bojar, O., Constantin, A., &amp; Herbst, E. (2007). Moses: Open source toolkit for statistical machine translation. Proceedings of the 45th Annual Meeting of the ACL on Interactive Poster and Demonstration Sessions, 177–180. 0</w:t>
      </w:r>
    </w:p>
    <w:p w14:paraId="74F94765">
      <w:pPr>
        <w:pStyle w:val="37"/>
      </w:pPr>
      <w:r>
        <w:t>Lewis, P., Perez, E., Piktus, A., Petroni, F., Karpukhin, V., Goyal, N., Küttler, H., Lewis, M., Yih, W.-T., Rocktäschel, T., Riedel, S., &amp; Kiela, D. (2020). Retrieval-augmented generation for knowledge-intensive NLP tasks. Advances in Neural Information Processing Systems, 33, 9459–9474. 0</w:t>
      </w:r>
    </w:p>
    <w:p w14:paraId="1A34D65E">
      <w:pPr>
        <w:pStyle w:val="37"/>
      </w:pPr>
      <w:r>
        <w:t>Liu, Y., Gu, J., Goyal, N., Li, X., Edunov, S., Ghazvininejad, M., Lewis, M., &amp; Zettlemoyer, L. (2020). Multilingual denoising pre-training for neural machine translation. Transactions of the Association for Computational Linguistics, 8, 726–742. 0</w:t>
      </w:r>
    </w:p>
    <w:p w14:paraId="1093F8F1">
      <w:pPr>
        <w:pStyle w:val="37"/>
      </w:pPr>
      <w:r>
        <w:t>Luong, M.-T., Pham, H., &amp; Manning, C. D. (2015). Effective approaches to attention-based neural machine translation. Proceedings of the 2015 Conference on Empirical Methods in Natural Language Processing, 1412–1421. 0</w:t>
      </w:r>
    </w:p>
    <w:p w14:paraId="17C1E6EE">
      <w:pPr>
        <w:pStyle w:val="37"/>
      </w:pPr>
      <w:r>
        <w:t>Papineni, K., Roukos, S., Ward, T., &amp; Zhu, W.-J. (2002). BLEU: A method for automatic evaluation of machine translation. Proceedings of the 40th Annual Meeting of the Association for Computational Linguistics, 311–318. 0</w:t>
      </w:r>
    </w:p>
    <w:p w14:paraId="04C506D7">
      <w:pPr>
        <w:pStyle w:val="37"/>
      </w:pPr>
      <w:r>
        <w:t>Post, M. (2018). A call for clarity in reporting BLEU scores. Proceedings of the Third Conference on Machine Translation: Research Papers, 186–191. 0</w:t>
      </w:r>
    </w:p>
    <w:p w14:paraId="53707B0F">
      <w:pPr>
        <w:pStyle w:val="37"/>
      </w:pPr>
      <w:r>
        <w:t>Raffel, C., Shazeer, N., Roberts, A., Lee, K., Narang, S., Matena, M., Zhou, Y., Li, W., &amp; Liu, P. J. (2020). Exploring the limits of transfer learning with a unified text-to-text transformer. Journal of Machine Learning Research, 21(140), 1–67. 0</w:t>
      </w:r>
    </w:p>
    <w:p w14:paraId="763B60DF">
      <w:pPr>
        <w:pStyle w:val="37"/>
      </w:pPr>
      <w:r>
        <w:t>Rei, R., Stewart, C., Farinha, A. C., &amp; Lavie, A. (2020). COMET: A neural framework for MT evaluation. Proceedings of the 2020 Conference on Empirical Methods in Natural Language Processing, 2685–2702. 0</w:t>
      </w:r>
    </w:p>
    <w:p w14:paraId="5F003CFA">
      <w:pPr>
        <w:pStyle w:val="37"/>
      </w:pPr>
      <w:r>
        <w:t>Sato, M. (2025). Triggering hallucinations in LLMs: A quantitative study of prompt-induced hallucination in large language models. arXiv preprint 0 1</w:t>
      </w:r>
    </w:p>
    <w:p w14:paraId="2730274D">
      <w:pPr>
        <w:pStyle w:val="37"/>
      </w:pPr>
      <w:r>
        <w:t>Sahoo, P., Singh, A. K., Saha, S., Jain, V., Mondal, S., &amp; Chadha, A. (2024). A systematic survey of prompt engineering in large language models: Techniques and applications. arXiv preprint 0 1</w:t>
      </w:r>
    </w:p>
    <w:p w14:paraId="7D607EB3">
      <w:pPr>
        <w:pStyle w:val="37"/>
      </w:pPr>
      <w:r>
        <w:t>Schulhoff, S., Ilie, M., Balepur, N., Kahadze, K., Liu, A., Si, C., Li, Y., Gupta, A., Han, H., Schulhoff, S., Dulepet, P. S., Vidyadhara, S., Ki, D., Agrawal, S., Chinakomnam, C., Feng, Y., &amp; Resnik, P. (2024). The prompt report: A systematic survey of prompt engineering techniques. arXiv preprint 0 1</w:t>
      </w:r>
    </w:p>
    <w:p w14:paraId="79E98F09">
      <w:pPr>
        <w:pStyle w:val="37"/>
      </w:pPr>
      <w:r>
        <w:t>Snover, M., Dorr, B., Schwartz, R., Micciulla, L., &amp; Makhoul, J. (2006). A study of translation edit rate with targeted human annotation. Proceedings of Association for Machine Translation in the Americas (AMTA 2006), 223–231. 0</w:t>
      </w:r>
    </w:p>
    <w:p w14:paraId="2CEFE856">
      <w:pPr>
        <w:pStyle w:val="37"/>
      </w:pPr>
      <w:r>
        <w:t>Stahlberg, F. (2020). Neural machine translation: A review. Journal of Artificial Intelligence Research, 69, 343–418. 0</w:t>
      </w:r>
    </w:p>
    <w:p w14:paraId="0AB0E6BD">
      <w:pPr>
        <w:pStyle w:val="37"/>
      </w:pPr>
      <w:r>
        <w:t>Tiedemann, J. (2012). Parallel data, tools and interfaces in OPUS. Proceedings of the Eight International Conference on Language Resources and Evaluation (LREC 2012), 2214–2218. 0</w:t>
      </w:r>
    </w:p>
    <w:p w14:paraId="3F909CAE">
      <w:pPr>
        <w:pStyle w:val="37"/>
      </w:pPr>
      <w:r>
        <w:t>Vaswani , A. , Shazeer , N. , Parmar , N. , Uszkoreit , J. , Jones , L. , Gomez , A. N. , Kaiser , Ł. , &amp; Polosukhin , I. (2017). Attention is all you need. Advances in Neural Information Processing Systems (NeurIPS 2017). 0</w:t>
      </w:r>
    </w:p>
    <w:p w14:paraId="29D785A5">
      <w:pPr>
        <w:pStyle w:val="37"/>
      </w:pPr>
      <w:r>
        <w:t>Weidinger , L. , Mellor , J. , Rauh , M. , Rauh , C. , Uesato , J. , Huang , P.-S. , Cheng , M. , Glaese , M. , Balle , B. , Kasirzadeh , A. , Kenton , Z. , Brown , S. , Hawkins , W. , Stepleton , T. , Biles , C. , Birhane , A. , Haas , J. , . Rimell , L. , Hendricks , L. A. , &amp; Gabriel , I. (2021). Ethical and social risks of harm from language models. arXiv preprint</w:t>
      </w:r>
    </w:p>
    <w:p w14:paraId="4C2EDAE4">
      <w:pPr>
        <w:pStyle w:val="37"/>
      </w:pPr>
      <w:r>
        <w:t>Wu, Y., Schuster, M., Chen, Z., Le, Q. V., Norouzi, M., Macherey, W., Krikun, M., Cao, Y., Gao, Q., Macherey, K., Klingner, J., Shah, A., Johnson, M., Liu, X., Kaiser, Ł., Gouws, S., Kato, Y., Kudo, T., Kazawa, H., &amp; Dean, J. (2016). Google's neural machine translation system: Bridging the gap between human and machine translation. arXiv preprint 0 1</w:t>
      </w:r>
    </w:p>
    <w:p w14:paraId="3F34AEEC">
      <w:pPr>
        <w:pStyle w:val="37"/>
      </w:pPr>
      <w:r>
        <w:t>Xue, L., Constant, N., Roberts, A., Kale, M., Al-Rfou, R., Siddhant, A., Barua, A., &amp; Raffel, C. (2021). mT5: A massively multilingual pre-trained text-to-text transformer. Proceedings of NAACL-HLT 2021, 483–498. 0</w:t>
      </w:r>
    </w:p>
    <w:p w14:paraId="092A7398">
      <w:pPr>
        <w:pStyle w:val="37"/>
      </w:pPr>
      <w:r>
        <w:t>Zhang, B., &amp; Sennrich, R. (2019). Root mean square layer normalization. Advances in Neural Information Processing Systems, 32. 0</w:t>
      </w:r>
    </w:p>
    <w:p w14:paraId="1FA8036C">
      <w:pPr>
        <w:pStyle w:val="37"/>
        <w:numPr>
          <w:ilvl w:val="0"/>
          <w:numId w:val="0"/>
        </w:numPr>
        <w:ind w:left="341" w:hanging="114"/>
      </w:pPr>
    </w:p>
    <w:sectPr>
      <w:headerReference r:id="rId5" w:type="default"/>
      <w:headerReference r:id="rId6" w:type="even"/>
      <w:footerReference w:type="default" r:id="rId10"/>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12AE8">
    <w:pPr>
      <w:pStyle w:val="39"/>
    </w:pPr>
    <w:r>
      <w:tab/>
    </w:r>
    <w:r>
      <w:t xml:space="preserve">Contribution Title (shortened if too long) </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5EF39">
    <w:pPr>
      <w:pStyle w:val="38"/>
    </w:pPr>
    <w:r>
      <w:fldChar w:fldCharType="begin"/>
    </w:r>
    <w:r>
      <w:instrText xml:space="preserve">PAGE   \* MERGEFORMAT</w:instrText>
    </w:r>
    <w:r>
      <w:fldChar w:fldCharType="separate"/>
    </w:r>
    <w:r>
      <w:t>2</w:t>
    </w:r>
    <w:r>
      <w:fldChar w:fldCharType="end"/>
    </w:r>
    <w:r>
      <w:t xml:space="preserve"> </w:t>
    </w:r>
    <w:r>
      <w:tab/>
    </w:r>
    <w:r>
      <w:t>F. Author and S. Author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3"/>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6F404C9F"/>
    <w:multiLevelType w:val="multilevel"/>
    <w:tmpl w:val="6F404C9F"/>
    <w:lvl w:ilvl="0" w:tentative="0">
      <w:start w:val="1"/>
      <w:numFmt w:val="bullet"/>
      <w:pStyle w:val="24"/>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8"/>
      <w:lvlText w:val="%1"/>
      <w:lvlJc w:val="left"/>
      <w:pPr>
        <w:tabs>
          <w:tab w:val="left" w:pos="567"/>
        </w:tabs>
        <w:ind w:left="567" w:hanging="567"/>
      </w:pPr>
      <w:rPr>
        <w:rFonts w:hint="default"/>
      </w:rPr>
    </w:lvl>
    <w:lvl w:ilvl="1" w:tentative="0">
      <w:start w:val="1"/>
      <w:numFmt w:val="decimal"/>
      <w:pStyle w:val="29"/>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5"/>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7"/>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14BB3"/>
    <w:rsid w:val="00041E1E"/>
    <w:rsid w:val="000729DE"/>
    <w:rsid w:val="00080C95"/>
    <w:rsid w:val="000C5148"/>
    <w:rsid w:val="00121A0E"/>
    <w:rsid w:val="001C06E3"/>
    <w:rsid w:val="0020796A"/>
    <w:rsid w:val="002D2068"/>
    <w:rsid w:val="0030204D"/>
    <w:rsid w:val="00390FE3"/>
    <w:rsid w:val="003B6B7C"/>
    <w:rsid w:val="003D6772"/>
    <w:rsid w:val="004068D6"/>
    <w:rsid w:val="004365FB"/>
    <w:rsid w:val="004A580F"/>
    <w:rsid w:val="004F0986"/>
    <w:rsid w:val="00507277"/>
    <w:rsid w:val="00525E09"/>
    <w:rsid w:val="0054134D"/>
    <w:rsid w:val="00543693"/>
    <w:rsid w:val="0059267F"/>
    <w:rsid w:val="005D71A6"/>
    <w:rsid w:val="005D7290"/>
    <w:rsid w:val="006015BB"/>
    <w:rsid w:val="00612520"/>
    <w:rsid w:val="00635FBF"/>
    <w:rsid w:val="00674991"/>
    <w:rsid w:val="00720C96"/>
    <w:rsid w:val="00722A1D"/>
    <w:rsid w:val="00766D51"/>
    <w:rsid w:val="007D53E3"/>
    <w:rsid w:val="00806D41"/>
    <w:rsid w:val="008405EC"/>
    <w:rsid w:val="008504C5"/>
    <w:rsid w:val="00864CFE"/>
    <w:rsid w:val="0088007F"/>
    <w:rsid w:val="008A41B1"/>
    <w:rsid w:val="008D19C8"/>
    <w:rsid w:val="0095682A"/>
    <w:rsid w:val="009930E4"/>
    <w:rsid w:val="009B2539"/>
    <w:rsid w:val="009C6439"/>
    <w:rsid w:val="009E2F6C"/>
    <w:rsid w:val="009F7FCE"/>
    <w:rsid w:val="00A06D8D"/>
    <w:rsid w:val="00A13D60"/>
    <w:rsid w:val="00AD3144"/>
    <w:rsid w:val="00B019E4"/>
    <w:rsid w:val="00B04A5F"/>
    <w:rsid w:val="00B23481"/>
    <w:rsid w:val="00BA5F23"/>
    <w:rsid w:val="00BC1249"/>
    <w:rsid w:val="00C50CBC"/>
    <w:rsid w:val="00C54E0F"/>
    <w:rsid w:val="00C7487A"/>
    <w:rsid w:val="00CB3A9A"/>
    <w:rsid w:val="00CC1C6E"/>
    <w:rsid w:val="00CF29B6"/>
    <w:rsid w:val="00CF62AD"/>
    <w:rsid w:val="00D47298"/>
    <w:rsid w:val="00DD0FD7"/>
    <w:rsid w:val="00DE4CA4"/>
    <w:rsid w:val="00DF623C"/>
    <w:rsid w:val="00E41C2E"/>
    <w:rsid w:val="00F23B7A"/>
    <w:rsid w:val="00F321B4"/>
    <w:rsid w:val="00F665BE"/>
    <w:rsid w:val="00FA68DA"/>
    <w:rsid w:val="71F1739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unhideWhenUsed="0" w:uiPriority="0" w:name="annotation text"/>
    <w:lsdException w:qFormat="1" w:uiPriority="0" w:name="header"/>
    <w:lsdException w:uiPriority="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qFormat="1" w:uiPriority="0" w:name="footnote reference"/>
    <w:lsdException w:qFormat="1" w:unhideWhenUsed="0" w:uiPriority="0" w:name="annotation reference"/>
    <w:lsdException w:unhideWhenUsed="0" w:uiPriority="0" w:name="line number"/>
    <w:lsdException w:qFormat="1"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semiHidden="0" w:name="Hyperlink"/>
    <w:lsdException w:unhideWhenUsed="0" w:uiPriority="0" w:name="FollowedHyperlink"/>
    <w:lsdException w:unhideWhenUsed="0" w:uiPriority="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7">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character" w:styleId="9">
    <w:name w:val="annotation reference"/>
    <w:basedOn w:val="7"/>
    <w:semiHidden/>
    <w:qFormat/>
    <w:uiPriority w:val="0"/>
    <w:rPr>
      <w:sz w:val="16"/>
      <w:szCs w:val="16"/>
    </w:rPr>
  </w:style>
  <w:style w:type="paragraph" w:styleId="10">
    <w:name w:val="annotation text"/>
    <w:basedOn w:val="1"/>
    <w:link w:val="48"/>
    <w:semiHidden/>
    <w:uiPriority w:val="0"/>
    <w:pPr>
      <w:spacing w:line="240" w:lineRule="auto"/>
    </w:pPr>
  </w:style>
  <w:style w:type="paragraph" w:styleId="11">
    <w:name w:val="annotation subject"/>
    <w:basedOn w:val="10"/>
    <w:next w:val="10"/>
    <w:link w:val="49"/>
    <w:semiHidden/>
    <w:uiPriority w:val="0"/>
    <w:rPr>
      <w:b/>
      <w:bCs/>
    </w:rPr>
  </w:style>
  <w:style w:type="character" w:styleId="12">
    <w:name w:val="FollowedHyperlink"/>
    <w:basedOn w:val="7"/>
    <w:semiHidden/>
    <w:uiPriority w:val="0"/>
    <w:rPr>
      <w:color w:val="800080" w:themeColor="followedHyperlink"/>
      <w:u w:val="single"/>
      <w14:textFill>
        <w14:solidFill>
          <w14:schemeClr w14:val="folHlink"/>
        </w14:solidFill>
      </w14:textFill>
    </w:rPr>
  </w:style>
  <w:style w:type="paragraph" w:styleId="13">
    <w:name w:val="footer"/>
    <w:basedOn w:val="1"/>
    <w:semiHidden/>
    <w:unhideWhenUsed/>
    <w:uiPriority w:val="0"/>
  </w:style>
  <w:style w:type="character" w:styleId="14">
    <w:name w:val="footnote reference"/>
    <w:basedOn w:val="7"/>
    <w:semiHidden/>
    <w:unhideWhenUsed/>
    <w:qFormat/>
    <w:uiPriority w:val="0"/>
    <w:rPr>
      <w:position w:val="0"/>
      <w:vertAlign w:val="superscript"/>
    </w:rPr>
  </w:style>
  <w:style w:type="paragraph" w:styleId="15">
    <w:name w:val="footnote text"/>
    <w:basedOn w:val="1"/>
    <w:semiHidden/>
    <w:qFormat/>
    <w:uiPriority w:val="0"/>
    <w:pPr>
      <w:spacing w:line="220" w:lineRule="atLeast"/>
      <w:ind w:left="227" w:hanging="227"/>
    </w:pPr>
    <w:rPr>
      <w:sz w:val="18"/>
    </w:rPr>
  </w:style>
  <w:style w:type="paragraph" w:styleId="16">
    <w:name w:val="header"/>
    <w:basedOn w:val="1"/>
    <w:semiHidden/>
    <w:unhideWhenUsed/>
    <w:qFormat/>
    <w:uiPriority w:val="0"/>
    <w:pPr>
      <w:tabs>
        <w:tab w:val="center" w:pos="4536"/>
        <w:tab w:val="right" w:pos="9072"/>
      </w:tabs>
      <w:ind w:firstLine="0"/>
    </w:pPr>
    <w:rPr>
      <w:sz w:val="18"/>
      <w:szCs w:val="18"/>
    </w:rPr>
  </w:style>
  <w:style w:type="character" w:styleId="17">
    <w:name w:val="Hyperlink"/>
    <w:basedOn w:val="7"/>
    <w:unhideWhenUsed/>
    <w:uiPriority w:val="0"/>
    <w:rPr>
      <w:color w:val="auto"/>
      <w:u w:val="none"/>
    </w:rPr>
  </w:style>
  <w:style w:type="character" w:styleId="18">
    <w:name w:val="page number"/>
    <w:basedOn w:val="7"/>
    <w:semiHidden/>
    <w:unhideWhenUsed/>
    <w:qFormat/>
    <w:uiPriority w:val="0"/>
    <w:rPr>
      <w:sz w:val="18"/>
    </w:rPr>
  </w:style>
  <w:style w:type="table" w:styleId="19">
    <w:name w:val="Table Grid"/>
    <w:basedOn w:val="8"/>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abstract"/>
    <w:basedOn w:val="1"/>
    <w:uiPriority w:val="0"/>
    <w:pPr>
      <w:spacing w:before="600" w:after="360" w:line="220" w:lineRule="atLeast"/>
      <w:ind w:left="567" w:right="567"/>
      <w:contextualSpacing/>
    </w:pPr>
    <w:rPr>
      <w:sz w:val="18"/>
    </w:rPr>
  </w:style>
  <w:style w:type="paragraph" w:customStyle="1" w:styleId="21">
    <w:name w:val="address"/>
    <w:basedOn w:val="1"/>
    <w:qFormat/>
    <w:uiPriority w:val="0"/>
    <w:pPr>
      <w:spacing w:after="200" w:line="220" w:lineRule="atLeast"/>
      <w:ind w:firstLine="0"/>
      <w:contextualSpacing/>
      <w:jc w:val="center"/>
    </w:pPr>
    <w:rPr>
      <w:sz w:val="18"/>
    </w:rPr>
  </w:style>
  <w:style w:type="paragraph" w:customStyle="1" w:styleId="22">
    <w:name w:val="author"/>
    <w:basedOn w:val="1"/>
    <w:next w:val="21"/>
    <w:uiPriority w:val="0"/>
    <w:pPr>
      <w:spacing w:after="200" w:line="220" w:lineRule="atLeast"/>
      <w:ind w:firstLine="0"/>
      <w:jc w:val="center"/>
    </w:pPr>
  </w:style>
  <w:style w:type="paragraph" w:customStyle="1" w:styleId="23">
    <w:name w:val="bulletitem"/>
    <w:basedOn w:val="1"/>
    <w:uiPriority w:val="0"/>
    <w:pPr>
      <w:numPr>
        <w:ilvl w:val="0"/>
        <w:numId w:val="1"/>
      </w:numPr>
      <w:spacing w:before="160" w:after="160"/>
      <w:contextualSpacing/>
    </w:pPr>
  </w:style>
  <w:style w:type="paragraph" w:customStyle="1" w:styleId="24">
    <w:name w:val="dashitem"/>
    <w:basedOn w:val="1"/>
    <w:uiPriority w:val="0"/>
    <w:pPr>
      <w:numPr>
        <w:ilvl w:val="0"/>
        <w:numId w:val="2"/>
      </w:numPr>
      <w:spacing w:before="160" w:after="160"/>
      <w:contextualSpacing/>
    </w:pPr>
  </w:style>
  <w:style w:type="character" w:customStyle="1" w:styleId="25">
    <w:name w:val="e-mail"/>
    <w:basedOn w:val="7"/>
    <w:qFormat/>
    <w:uiPriority w:val="0"/>
    <w:rPr>
      <w:rFonts w:ascii="Courier" w:hAnsi="Courier"/>
    </w:rPr>
  </w:style>
  <w:style w:type="paragraph" w:customStyle="1" w:styleId="26">
    <w:name w:val="equation"/>
    <w:basedOn w:val="1"/>
    <w:next w:val="1"/>
    <w:uiPriority w:val="0"/>
    <w:pPr>
      <w:tabs>
        <w:tab w:val="center" w:pos="3289"/>
        <w:tab w:val="right" w:pos="6917"/>
      </w:tabs>
      <w:spacing w:before="160" w:after="160"/>
      <w:ind w:firstLine="0"/>
    </w:pPr>
  </w:style>
  <w:style w:type="paragraph" w:customStyle="1" w:styleId="27">
    <w:name w:val="figurecaption"/>
    <w:basedOn w:val="1"/>
    <w:next w:val="1"/>
    <w:uiPriority w:val="0"/>
    <w:pPr>
      <w:keepLines/>
      <w:spacing w:before="120" w:after="240" w:line="220" w:lineRule="atLeast"/>
      <w:ind w:firstLine="0"/>
      <w:jc w:val="center"/>
    </w:pPr>
    <w:rPr>
      <w:sz w:val="18"/>
    </w:rPr>
  </w:style>
  <w:style w:type="paragraph" w:customStyle="1" w:styleId="28">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9">
    <w:name w:val="heading2"/>
    <w:basedOn w:val="1"/>
    <w:next w:val="3"/>
    <w:qFormat/>
    <w:uiPriority w:val="0"/>
    <w:pPr>
      <w:keepNext/>
      <w:keepLines/>
      <w:numPr>
        <w:ilvl w:val="1"/>
        <w:numId w:val="3"/>
      </w:numPr>
      <w:suppressAutoHyphens/>
      <w:spacing w:before="360" w:after="160"/>
      <w:jc w:val="left"/>
      <w:outlineLvl w:val="1"/>
    </w:pPr>
    <w:rPr>
      <w:b/>
    </w:rPr>
  </w:style>
  <w:style w:type="character" w:customStyle="1" w:styleId="30">
    <w:name w:val="heading3"/>
    <w:basedOn w:val="7"/>
    <w:uiPriority w:val="0"/>
    <w:rPr>
      <w:b/>
    </w:rPr>
  </w:style>
  <w:style w:type="paragraph" w:customStyle="1" w:styleId="31">
    <w:name w:val="acknowlegments"/>
    <w:basedOn w:val="1"/>
    <w:qFormat/>
    <w:uiPriority w:val="0"/>
    <w:pPr>
      <w:spacing w:before="240" w:line="220" w:lineRule="atLeast"/>
      <w:ind w:firstLine="0"/>
    </w:pPr>
    <w:rPr>
      <w:sz w:val="18"/>
    </w:rPr>
  </w:style>
  <w:style w:type="character" w:customStyle="1" w:styleId="32">
    <w:name w:val="heading4"/>
    <w:basedOn w:val="7"/>
    <w:uiPriority w:val="0"/>
    <w:rPr>
      <w:i/>
    </w:rPr>
  </w:style>
  <w:style w:type="paragraph" w:customStyle="1" w:styleId="33">
    <w:name w:val="image"/>
    <w:basedOn w:val="1"/>
    <w:next w:val="1"/>
    <w:qFormat/>
    <w:uiPriority w:val="0"/>
    <w:pPr>
      <w:spacing w:before="240" w:after="120"/>
      <w:ind w:firstLine="0"/>
      <w:jc w:val="center"/>
    </w:pPr>
  </w:style>
  <w:style w:type="paragraph" w:customStyle="1" w:styleId="34">
    <w:name w:val="keywords"/>
    <w:basedOn w:val="20"/>
    <w:next w:val="28"/>
    <w:uiPriority w:val="0"/>
    <w:pPr>
      <w:spacing w:before="220"/>
      <w:ind w:firstLine="0"/>
      <w:contextualSpacing w:val="0"/>
      <w:jc w:val="left"/>
    </w:pPr>
  </w:style>
  <w:style w:type="paragraph" w:customStyle="1" w:styleId="35">
    <w:name w:val="numitem"/>
    <w:basedOn w:val="1"/>
    <w:qFormat/>
    <w:uiPriority w:val="0"/>
    <w:pPr>
      <w:numPr>
        <w:ilvl w:val="0"/>
        <w:numId w:val="4"/>
      </w:numPr>
      <w:spacing w:before="160" w:after="160"/>
      <w:contextualSpacing/>
    </w:pPr>
  </w:style>
  <w:style w:type="paragraph" w:customStyle="1" w:styleId="36">
    <w:name w:val="programcode"/>
    <w:basedOn w:val="1"/>
    <w:qFormat/>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7">
    <w:name w:val="referenceitem"/>
    <w:basedOn w:val="1"/>
    <w:qFormat/>
    <w:uiPriority w:val="0"/>
    <w:pPr>
      <w:numPr>
        <w:ilvl w:val="0"/>
        <w:numId w:val="5"/>
      </w:numPr>
      <w:spacing w:line="220" w:lineRule="atLeast"/>
    </w:pPr>
    <w:rPr>
      <w:sz w:val="18"/>
    </w:rPr>
  </w:style>
  <w:style w:type="paragraph" w:customStyle="1" w:styleId="38">
    <w:name w:val="runninghead left"/>
    <w:basedOn w:val="1"/>
    <w:uiPriority w:val="0"/>
    <w:pPr>
      <w:tabs>
        <w:tab w:val="left" w:pos="680"/>
      </w:tabs>
      <w:ind w:firstLine="0"/>
      <w:jc w:val="left"/>
    </w:pPr>
    <w:rPr>
      <w:sz w:val="18"/>
      <w:szCs w:val="18"/>
    </w:rPr>
  </w:style>
  <w:style w:type="paragraph" w:customStyle="1" w:styleId="39">
    <w:name w:val="runninghead right"/>
    <w:basedOn w:val="1"/>
    <w:qFormat/>
    <w:uiPriority w:val="0"/>
    <w:pPr>
      <w:tabs>
        <w:tab w:val="right" w:pos="6237"/>
        <w:tab w:val="right" w:pos="6917"/>
      </w:tabs>
      <w:ind w:firstLine="0"/>
      <w:jc w:val="left"/>
    </w:pPr>
    <w:rPr>
      <w:bCs/>
      <w:sz w:val="18"/>
      <w:szCs w:val="18"/>
    </w:rPr>
  </w:style>
  <w:style w:type="paragraph" w:customStyle="1" w:styleId="40">
    <w:name w:val="papertitle"/>
    <w:basedOn w:val="1"/>
    <w:next w:val="22"/>
    <w:uiPriority w:val="0"/>
    <w:pPr>
      <w:keepNext/>
      <w:keepLines/>
      <w:suppressAutoHyphens/>
      <w:spacing w:after="480" w:line="360" w:lineRule="atLeast"/>
      <w:ind w:firstLine="0"/>
      <w:jc w:val="center"/>
    </w:pPr>
    <w:rPr>
      <w:b/>
      <w:sz w:val="28"/>
    </w:rPr>
  </w:style>
  <w:style w:type="paragraph" w:customStyle="1" w:styleId="41">
    <w:name w:val="papersubtitle"/>
    <w:basedOn w:val="40"/>
    <w:next w:val="22"/>
    <w:uiPriority w:val="0"/>
    <w:pPr>
      <w:spacing w:before="120" w:line="280" w:lineRule="atLeast"/>
    </w:pPr>
    <w:rPr>
      <w:sz w:val="24"/>
    </w:rPr>
  </w:style>
  <w:style w:type="paragraph" w:customStyle="1" w:styleId="42">
    <w:name w:val="tablecaption"/>
    <w:basedOn w:val="1"/>
    <w:next w:val="1"/>
    <w:qFormat/>
    <w:uiPriority w:val="0"/>
    <w:pPr>
      <w:keepNext/>
      <w:keepLines/>
      <w:spacing w:before="240" w:after="120" w:line="220" w:lineRule="atLeast"/>
      <w:ind w:firstLine="0"/>
      <w:jc w:val="center"/>
    </w:pPr>
    <w:rPr>
      <w:sz w:val="18"/>
    </w:rPr>
  </w:style>
  <w:style w:type="character" w:customStyle="1" w:styleId="43">
    <w:name w:val="url"/>
    <w:basedOn w:val="7"/>
    <w:uiPriority w:val="0"/>
    <w:rPr>
      <w:rFonts w:ascii="Courier" w:hAnsi="Courier"/>
    </w:rPr>
  </w:style>
  <w:style w:type="character" w:customStyle="1" w:styleId="44">
    <w:name w:val="ORCID"/>
    <w:basedOn w:val="7"/>
    <w:uiPriority w:val="0"/>
    <w:rPr>
      <w:position w:val="0"/>
      <w:vertAlign w:val="superscript"/>
    </w:rPr>
  </w:style>
  <w:style w:type="paragraph" w:customStyle="1" w:styleId="45">
    <w:name w:val="ReferenceLine"/>
    <w:basedOn w:val="3"/>
    <w:semiHidden/>
    <w:unhideWhenUsed/>
    <w:qFormat/>
    <w:uiPriority w:val="0"/>
    <w:pPr>
      <w:spacing w:line="200" w:lineRule="exact"/>
    </w:pPr>
    <w:rPr>
      <w:sz w:val="16"/>
    </w:rPr>
  </w:style>
  <w:style w:type="paragraph" w:styleId="46">
    <w:name w:val="List Paragraph"/>
    <w:basedOn w:val="1"/>
    <w:semiHidden/>
    <w:uiPriority w:val="0"/>
    <w:pPr>
      <w:ind w:left="720"/>
      <w:contextualSpacing/>
    </w:pPr>
  </w:style>
  <w:style w:type="character" w:customStyle="1" w:styleId="47">
    <w:name w:val="Unresolved Mention"/>
    <w:basedOn w:val="7"/>
    <w:semiHidden/>
    <w:unhideWhenUsed/>
    <w:uiPriority w:val="99"/>
    <w:rPr>
      <w:color w:val="605E5C"/>
      <w:shd w:val="clear" w:color="auto" w:fill="E1DFDD"/>
    </w:rPr>
  </w:style>
  <w:style w:type="character" w:customStyle="1" w:styleId="48">
    <w:name w:val="Comment Text Char"/>
    <w:basedOn w:val="7"/>
    <w:link w:val="10"/>
    <w:semiHidden/>
    <w:uiPriority w:val="0"/>
  </w:style>
  <w:style w:type="character" w:customStyle="1" w:styleId="49">
    <w:name w:val="Comment Subject Char"/>
    <w:basedOn w:val="48"/>
    <w:link w:val="11"/>
    <w:semiHidden/>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10</Pages>
  <Words>8364</Words>
  <Characters>47681</Characters>
  <Lines>397</Lines>
  <Paragraphs>111</Paragraphs>
  <TotalTime>337</TotalTime>
  <ScaleCrop>false</ScaleCrop>
  <LinksUpToDate>false</LinksUpToDate>
  <CharactersWithSpaces>55934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2023-10-25T07:01:00Z</dcterms:created>
  <dc:creator>Phúc Hà Hoàng</dc:creator>
  <dc:description>Styles and macros for Springer Lecture Notes</dc:description>
  <cp:lastModifiedBy>Phúc Hà Hoàng</cp:lastModifiedBy>
  <cp:lastPrinted>2026-02-01T07:42:00Z</cp:lastPrinted>
  <dcterms:modified xsi:type="dcterms:W3CDTF">2026-04-16T14:27:49Z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A3FFC6A7CE5D40FC8CE4086E0EA1A077_12</vt:lpwstr>
  </property>
</Properties>
</file>