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Automatic Text-to-Speech System for Vietnamese Using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Anh-Khoa </w:t>
      </w:r>
      <w:r>
        <w:rPr>
          <w:rFonts w:ascii="TimesNewRomanPSMT" w:hAnsi="TimesNewRomanPSMT" w:eastAsia="TimesNewRomanPSMT"/>
          <w:b w:val="0"/>
          <w:i w:val="0"/>
          <w:color w:val="000000"/>
          <w:sz w:val="13"/>
          <w:u w:val="none"/>
        </w:rPr>
        <w:t xml:space="preserve">1 </w:t>
      </w:r>
      <w:r>
        <w:rPr>
          <w:rFonts w:ascii="TimesNewRomanPSMT" w:hAnsi="TimesNewRomanPSMT" w:eastAsia="TimesNewRomanPSMT"/>
          <w:b w:val="0"/>
          <w:i w:val="0"/>
          <w:color w:val="000000"/>
          <w:sz w:val="20"/>
          <w:u w:val="none"/>
        </w:rPr>
        <w:t xml:space="preserve">and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left"/>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 xml:space="preserve"> Faculty of Information Technology, Nam Can Tho University, 168 Nguyen Van Cu Street, An</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Binh Ward, Can Tho City danh223566@studentnctu.edu.vn, , nhakhoi@nctu.ed</w:t>
      </w:r>
      <w:r>
        <w:rPr>
          <w:rFonts w:ascii="TimesNewRomanPSMT" w:hAnsi="TimesNewRomanPSMT" w:eastAsia="TimesNewRomanPSMT"/>
          <w:b w:val="0"/>
          <w:i w:val="0"/>
          <w:color w:val="000000"/>
          <w:sz w:val="18"/>
          <w:u w:val="none"/>
        </w:rPr>
      </w:r>
    </w:p>
    <w:p>
      <w:pPr>
        <w:autoSpaceDN w:val="0"/>
        <w:autoSpaceDE w:val="0"/>
        <w:widowControl/>
        <w:spacing w:line="250" w:lineRule="exact" w:before="522" w:after="0"/>
        <w:ind w:left="0" w:right="0" w:firstLine="0"/>
        <w:jc w:val="left"/>
      </w:pPr>
      <w:r>
        <w:rPr>
          <w:rFonts w:ascii="TimesNewRomanPS" w:hAnsi="TimesNewRomanPS" w:eastAsia="TimesNewRomanPS"/>
          <w:b/>
          <w:i w:val="0"/>
          <w:color w:val="000000"/>
          <w:sz w:val="18"/>
          <w:u w:val="none"/>
        </w:rPr>
        <w:t xml:space="preserve">Abstract. </w:t>
      </w:r>
      <w:r>
        <w:rPr>
          <w:rFonts w:ascii="TimesNewRomanPSMT" w:hAnsi="TimesNewRomanPSMT" w:eastAsia="TimesNewRomanPSMT"/>
          <w:b w:val="0"/>
          <w:i w:val="0"/>
          <w:color w:val="000000"/>
          <w:sz w:val="18"/>
          <w:u w:val="none"/>
        </w:rPr>
        <w:t xml:space="preserve"> In the context of digital transformation and the rapid advancement of</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artificial intelligence, the demand for Text‑to‑Speech(TTS) systems has become increasingly critical across domains such as virtual assistants, education, automatic call centers, and accessibility tools for the visually impaired.  However,  generating  natural,  context‑aware,  and  prosodically appropriate  speech  remains  a  significant  challenge,  particularly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Vietnamese—a tonal language with complex pitch contours and regional diversity. This research proposes and develops a Vietnamese TTS system built upon modern deep learning models to overcome the limitations of traditional methods.  The  system  leverages  state‑of‑the‑art  architectures  including Tacotron, FastSpeech, and VITS, combined with machine learning techniques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to enhance synthesis quality. Construction and evaluation are performed on a diverse Vietnamese dataset, ensuring adaptability to multiple real‑world contexts. Results demonstrate that the system achieves natural, clear, highly flexible speech output with broad potential for deployment in digital platforms and intelligent services.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8" w:lineRule="exact" w:before="194" w:after="0"/>
        <w:ind w:left="0" w:right="0" w:firstLine="0"/>
        <w:jc w:val="left"/>
      </w:pPr>
      <w:r>
        <w:rPr>
          <w:rFonts w:ascii="TimesNewRomanPS" w:hAnsi="TimesNewRomanPS" w:eastAsia="TimesNewRomanPS"/>
          <w:b/>
          <w:i w:val="0"/>
          <w:color w:val="000000"/>
          <w:sz w:val="18"/>
          <w:u w:val="none"/>
        </w:rPr>
        <w:t>Keywords:  Text‑to‑Speech (TTS), Artificial Intelligence (AI), Deep Learning, Natural Language Processing (NLP), Speech Synthesis.</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Introduction</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left"/>
      </w:pPr>
      <w:r>
        <w:rPr>
          <w:rFonts w:ascii="TimesNewRomanPSMT" w:hAnsi="TimesNewRomanPSMT" w:eastAsia="TimesNewRomanPSMT"/>
          <w:b w:val="0"/>
          <w:i w:val="0"/>
          <w:color w:val="000000"/>
          <w:sz w:val="20"/>
          <w:u w:val="none"/>
        </w:rPr>
        <w:t>Driven by digital transformation and the progress of artificial intelligence, the need to build Text‑to‑Speech(TTS) systems is becoming ever more important in areas such as virtual assistants, education, automatic call centers, and support for the visually impaired. The TTS problem, however, extends beyond simply converting text into</w:t>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audio; it demands that the synthesized voice be natural, carry appropriate intonation, and fit the given context—a particularly difficult task for Vietnamese, a language with a complex tone system and substantial regional variation (Do,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Traditional concatenative and formant‑based TTS methods(Zen et al., 2019) and Hidden Markov Model(HMM)‑based synthesis(Zen et al., 2019) exhibit limitations in flexibility, naturalness, and scalability. In response, modern deep learning models such as Tacotron (Wang et al., 2017), Tacotron 2 (Shen et al., 2018), FastSpeech (Ren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et al., 2019,2020), and VITS(Kim et al., 2021) have opened more effective avenues  by learning directly from data. Building on these advances, this study focuses on the  research and development of a Vietnamese TTS system aimed at improving voice  quality and practical applicability.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Related Work</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The Vietnamese TTS market features several prominent domestic platforms alongside international solutions. FPT Smart Cloud Text to Speech, developed by FPT Corporation, delivers a high‑quality Vietnamese TTS service through a commercial API(Vu et al., 2025; Nguyen, 2023). It applies deep learning architectures such as Tacotron(Wang et al., 2017) and Transformer variants(Vaswani et al., 2017) together with vocoders like WaveNet(Oord et al., 2016) and HiFi‑GAN(Kong et al., 2020) to produce natural, region‑diverse voices with controllable speed, pitch, and pausing. The system is extensively used in interactive voice response(IVR), audiobooks, virtual assistants, and online education (Do, 2026). Viettel AI Text‑to‑Speech offers a SaaS‑based solution optimized for Vietnamese(Vu et al., 2025; Nguyen, 2023), employing advanced neural models trained on large‑scale, Vietnamese‑specific speech corpora to ensure accurate pronunciation, natural breaks, and expressive output(Do, 2026; Oord et al., 2016; Kong et al., 2020). Zalo AI Text to Speech, a product of VNG Corporation, integrates deep NLP models like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PhoBERT(Nguyen&amp;Tuan, 2020) and BERT‑style pre‑training(Devlin et al., 2019) with synthesis architectures including Tacotron, FastSpeech, and VITS(Wang et al., 2017; Ren et al., 2019; Kim et al., 2021), leveraging massive user data to support multiple speaking styles(Vu et al., 2025). Voice.vn specializes in speech synthesis and voice cloning(Vu et al., 2025) using end‑to‑end models like VITS(Kim et al., 2021) and voice conversion techniques(Casanova et al., 2022; Chen et al., 2022), enabling high‑fidelity voice cloning and customization for advertising, podcasting, and gaming. Google AI Studio provides a cloud‑based environment for TTS via the Gemini family and Google Cloud Text‑to‑Speech(Vaswani et al., 2017; Ren et al., 2019), featuring multi‑lingual, natural, and context‑adaptive voice generation (Casanova et al., 2022; Shen et al., 2018). EventLab offers TTS and voice cloning tools built on end‑to‑end TTS(Wang et al., 2017) and speaker embedding models (Chen et al., 2022; Kim et al., 2021; Casanova et al., 2022). Overall, the market is shifting from simple text‑reading systems toward intelligent communication platforms, with strong trends in voice cloning (Jia et al., 2018) and multimodal 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open‑source community has contributed a range of Vietnamese TTS models.  VietTTS is a representative system built with encoder‑decoder or Transformer  architectures(Wang et al., 2017; Vaswani et al., 2017; Ren et al., 2019), trained on  carefully normalized Vietnamese data(Do, 2026) to handle tones, compound words,  and sentence structures, offering near‑real‑time latency suitable for virtual assistants,  e‑learning, and audiobook production(Nguyen, 2023; Vu et al., 2025). NeuTTS‑Air  focuses on lightweight, efficient inference, balancing voice quality and speed to  operate on CPUs or low‑resource devices(Ren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3</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optimized for chatbots, IVR, and IoT applications (Ping et al., 2017; Kalchbrenner et  al., 2018). Kani‑TTS is a large‑scale model with approximately 370 million  parameters, aiming for high expressiveness and professional audio quality (Kim et al.,  2021; Casanova et al., 2022), excelling in audiobook and media production but  requiring powerful GPUs for deployment(Ren et al., 2019; Ping et al., 2017;  Kalchbrenner et al., 2018). VieNeu‑TTS combines TTS with voice cloning, extracting  speaker characteristics via techniques like AutoVC(Qian et al., 2019) and  StarGAN‑VC(Kameoka et al., 2018) and applying them to synthesized speech (Casanova et al., 2022; Jia et al., 2018), enabling strong personalization but also  raising ethical and security concerns. ViXTTS serves as a demonstration project for  voice cloning, illustrating the technology for rapid experimentation(Thinh, 2024;  Kim et al., 2021). Valtec‑TTS is a compact model optimized for extremely  resource‑constrained environments such as embedded devices and IoT(Ren et al.,  2019,2020; Ping et al., 2017; Kalchbrenner et al., 2018), delivering adequate clarity  for simple notification and guidance applications. Collectively, these models illustrate  the maturation of Vietnamese TTS, with specialized branches ranging from  high‑quality synthesis to lightweight deployment and voice personalization.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 xml:space="preserve">Data quality is foundational for TTS. The VLSP Speech Corpus is a large,  acadeically oriented dataset with multi‑speaker recordings in controlled conditions (Ardila et al., 2020; Vu et al., 2025), richly annotated with phonetic and regional  information(Yamagishi et al., 2019; Do, 2026). VIVOS is a smaller open‑source  corpus (around 10–20 hours) of clean read speech (Ardila et al., 2020; Ito &amp; Johnson,  2017), widely used for initial modeling despite limited emotional and real‑world  diversity(Do, 2026). Commercial datasets from FPT Corporation, Viettel Group, and  VNG Corporation are far larger and more detailed. FPT’s dataset comprises hundreds  to thousands of hours of studio‑quality recordings with exhaustive annotations (Vu et  al., 2025; Do, 2026; Oord et al., 2016; Kong et al., 2020). Viettel’s data blends studio  and real‑world recordings covering diverse accents (Vu et al., 2025; Yamagishi et al.,  2019; Jia et al., 2018; Do, 2026). Zalo’s data benefits from its broad user ecosystem,  incorporating contemporary language use(Vu et al., 2025;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Nguyen&amp;Tuan, 2020;  Devlin et al., 2019; Kim et al., 2021). Additionally, VietTTS provides a basic open  dataset with text–audio pairs sufficient for small‑scale experiments(Nguyen,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 2017; Vu et al., 2025). Overall, dataset scale, diversity, annotation  depth, and realism directly determine TTS performance.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System Design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Early  TTS  systems  relied  on  concatenative  and  formant‑based  methods,  which   assemble  or  mathematically  model  speech  units  but  suffer  from  inflexibility,  high   database  costs,  and  unnatural  prosody(Zen  et  al.,  2019).  Statistical  parametric   synthesis  using  Hidden  Markov  Models(HMM)  improved  flexibility  but  still   produced  monotonous,  less  natural  output(Zen  et  al.,  2019).  The  advent  of  deep   learning  brought  end‑to‑end  models  such  as  Tacotron  and  Tacotron  2,  which  employ   encoder–decoder  architectures  with  attention  to  directly  map  text  to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 xml:space="preserve">mel‑spectrograms, followed by vocoders like WaveNet(Oord et al., 2016) or  WaveGlow(Prenger et al., 2019) to generate waveforms(Wang et al., 2017; Shen et  al., 2018; Vaswani et al., 2017). These models automatically learn phonetic and  prosodic features, yielding significantly more natural speech, but have limitations in  inference speed and attention errors. FastSpeech and FastSpeech 2 addressed these  issues by removing attention during inference and using duration, pitch, and energy  predictors, achieving faster and more stable synthesis with explicit prosody control (Ren et al., 2019,2020; Vaswani et al., 2017). The latest leap, VITS, integrates a  variational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autoencoder(Kingma&amp;Welling, 2014) with a generative adversarial  network(Goodfellow et al., 2014) to directly generate waveforms from text in a  single end‑to‑end framework, eliminating a separate vocoder and further boosting  quality and efficiency(Kim et al., 2021; Casanova et al., 2022). Voice cloning and  multi‑speaker synthesis have also advanced, using speaker embeddings and style  tokens to enable personalization and zero‑shot adaptation(Jia et al., 2018; Casanova  et al., 2022; Chen et al., 2022; Wang et al., 2018). Additionally, transfer and  self‑supervised learning methods(Baevski et al., 2020; Hsu et al., 2021; Radford et  al., 2022) mitigate data scarcity for Vietnamese by pretraining on large multilingual  corpora. A modern TTS pipeline typically includes data collection and preprocessing,  text normalization (Do, 2026), model training, and waveform generation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proposed system implements an emotional TTS pipeline: input text containing  emotion tags is segmented by emotion, each segment is synthesized via viXTTS, and  the resulting waveforms are concatenated with silence gaps to produce the final audio  file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 xml:space="preserve"> Workflow of the Proposed Emotion-Based Speech Synthesis System</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0" w:right="0" w:firstLine="0"/>
              <w:jc w:val="left"/>
            </w:pPr>
            <w:r>
              <w:rPr>
                <w:rFonts w:ascii="TimesNewRomanPSMT" w:hAnsi="TimesNewRomanPSMT" w:eastAsia="TimesNewRomanPSMT"/>
                <w:b w:val="0"/>
                <w:i w:val="0"/>
                <w:color w:val="000000"/>
                <w:sz w:val="20"/>
                <w:u w:val="none"/>
              </w:rPr>
              <w:t>In the first layer, text is scanned line by line. When a line contains an emotion tag in  parentheses, the system maps it to an emotion label using a Vietnamese keyword  dictionary. Consecutive lines sharing the same emotion are grouped into a chunk of (text, emotion). Before synthesis, the text is cleaned by removing tag content,  normalizing spaces, and standardizing Vietnamese orthography. In the second layer,  each chunk is passed to the viXTTS inference engine together with speaker  characteristics extracted from a reference audio file. An emotion map assigns 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left"/>
            </w:pPr>
            <w:r>
              <w:rPr>
                <w:rFonts w:ascii="TimesNewRomanPSMT" w:hAnsi="TimesNewRomanPSMT" w:eastAsia="TimesNewRomanPSMT"/>
                <w:b w:val="0"/>
                <w:i w:val="0"/>
                <w:color w:val="000000"/>
                <w:sz w:val="20"/>
                <w:u w:val="none"/>
              </w:rPr>
              <w:t>cheerful_ref.wav). To maintain consistent speaker identity, latent speaker embeddings  are extracted once from a user‑provided voice sample and reused across all chunks (Jia et al., 2018; Casanova et al., 2022). The synthesis produces a waveform for each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EMOTION_MAP = { cheerful→cheerful_ref.wav, excited→excited_ref.wav,     calm→calm_ref.wav, sad→calm_ref.wav, neutral→base_voice.wav }   ALGORITHM EmotionalTTS(text, ref_audio, output.wav): </w:t>
              <w:br/>
              <w:t xml:space="preserve"> chunks ←split_by_emotion(text) </w:t>
              <w:br/>
              <w:t xml:space="preserve"> IF chunks is empty: ERROR </w:t>
              <w:br/>
              <w:t xml:space="preserve"> (latent, embed) ←get_speaker_latents(ref_audio) </w:t>
              <w:br/>
              <w:t xml:space="preserve"> waveforms ←[] </w:t>
              <w:br/>
              <w:t xml:space="preserve"> FOR EACH (t, e) IN chunks: </w:t>
              <w:br/>
              <w:t xml:space="preserve">  w ←viXTTS.inference(t, latent, embed) </w:t>
              <w:br/>
              <w:t xml:space="preserve">  waveforms.append(w) </w:t>
              <w:br/>
              <w:t xml:space="preserve"> output ←concatenate waveforms with 300 ms silence between </w:t>
              <w:br/>
              <w:t xml:space="preserve">  SAVE output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FUNCTION split_by_emotion(text): </w:t>
              <w:br/>
              <w:t xml:space="preserve"> iterate each line; if line contains '(' →close current chunk,   detect_emotion(line), start new chunk </w:t>
              <w:br/>
              <w:t xml:space="preserve"> else →append to current chunk </w:t>
              <w:br/>
              <w:t xml:space="preserve"> each chunk: clean_text (remove tags, normalize Vietnamese)    return chunks</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Author and S. Author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0" w:right="0" w:firstLine="0"/>
        <w:jc w:val="left"/>
      </w:pPr>
      <w:r>
        <w:rPr>
          <w:rFonts w:ascii="TimesNewRomanPSMT" w:hAnsi="TimesNewRomanPSMT" w:eastAsia="TimesNewRomanPSMT"/>
          <w:b w:val="0"/>
          <w:i w:val="0"/>
          <w:color w:val="000000"/>
          <w:sz w:val="20"/>
          <w:u w:val="none"/>
        </w:rPr>
        <w:t>chunk, as formalized in the following algorithm</w:t>
      </w:r>
    </w:p>
    <w:p>
      <w:pPr>
        <w:autoSpaceDN w:val="0"/>
        <w:autoSpaceDE w:val="0"/>
        <w:widowControl/>
        <w:spacing w:line="240" w:lineRule="exact" w:before="240" w:after="0"/>
        <w:ind w:left="0" w:right="0" w:firstLine="0"/>
        <w:jc w:val="left"/>
      </w:pPr>
      <w:r>
        <w:rPr>
          <w:rFonts w:ascii="TimesNewRomanPSMT" w:hAnsi="TimesNewRomanPSMT" w:eastAsia="TimesNewRomanPSMT"/>
          <w:b w:val="0"/>
          <w:i w:val="0"/>
          <w:color w:val="000000"/>
          <w:sz w:val="20"/>
          <w:u w:val="none"/>
        </w:rPr>
        <w:t>In the third layer, the generated waveforms are concatenated sequentially with  300 ms of silence inserted to separate emotional turns and avoid abrupt cuts. The final  output is saved as a WAV file. This design effectively combines keyword‑based  emotion classification with conditional TTS and audio post‑processing, enabling  tag‑driven, expressive speech synthesis using a unified voice identity.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Evaluation Metrics</w:t>
      </w:r>
      <w:r>
        <w:rPr>
          <w:rFonts w:ascii="TimesNewRomanPS" w:hAnsi="TimesNewRomanPS" w:eastAsia="TimesNewRomanPS"/>
          <w:b/>
          <w:i w:val="0"/>
          <w:color w:val="000000"/>
          <w:sz w:val="24"/>
          <w:u w:val="none"/>
        </w:rPr>
      </w:r>
    </w:p>
    <w:p>
      <w:pPr>
        <w:autoSpaceDN w:val="0"/>
        <w:autoSpaceDE w:val="0"/>
        <w:widowControl/>
        <w:spacing w:line="240" w:lineRule="exact" w:before="232" w:after="0"/>
        <w:ind w:left="0" w:right="0" w:firstLine="0"/>
        <w:jc w:val="left"/>
      </w:pPr>
      <w:r>
        <w:rPr>
          <w:rFonts w:ascii="TimesNewRomanPSMT" w:hAnsi="TimesNewRomanPSMT" w:eastAsia="TimesNewRomanPSMT"/>
          <w:b w:val="0"/>
          <w:i w:val="0"/>
          <w:color w:val="000000"/>
          <w:sz w:val="20"/>
          <w:u w:val="none"/>
        </w:rPr>
        <w:t>To comprehensively assess the text‑to‑speech and voice cloning system, two  complementary deep‑learning‑based metrics are employed: speaker similarity via  Resemblyzer, and perceived speech quality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Resemblyzer is a neural network‑based tool for speaker verification and voice  similarity measurement(Mishra et al., 2023). At its core, it employs a speaker  verification encoder trained with a generalized end‑to‑end loss (Wan et al., 2018). The  operational principle is as follows: first, an input utterance—either the original  reference voice or the synthesized cloned voice—is processed by a deep neural  network that extracts a fixed‑dimensional embedding vector(often referred to as a  d‑vector or speaker embedding). This vector is designed to capture the unique vocal  identity of the speaker, including characteristics such as timbre, pitch contour, and  speaking style, while being largely invariant to the linguistic content or the specific  words spoken. In other words, regardless of what the person says, the embedding  should remain consistent for the same speaker and distinctly different for different  speakers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Once the embedding vectors are obtained for both the reference audio A(the  original speaker’s voice) and the synthesized audio B(the cloned voice), their  similarity is quantified using the cosine similarity metric: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 xml:space="preserve">osineSimilarity  A,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 </w:t>
      </w:r>
      <w:r>
        <w:rPr>
          <w:color w:val="000000"/>
          <w:u w:val="none"/>
        </w:rPr>
        <w:t xml:space="preserve"> </w:t>
      </w:r>
      <w:r>
        <w:rPr>
          <w:rFonts w:ascii="CambriaMath" w:hAnsi="CambriaMath" w:eastAsia="CambriaMath"/>
          <w:b w:val="0"/>
          <w:i w:val="0"/>
          <w:color w:val="000000"/>
          <w:sz w:val="20"/>
          <w:u w:val="none"/>
        </w:rPr>
        <w:t xml:space="preserve">A ⋅B   </w:t>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 xml:space="preserve"> </w:t>
      </w:r>
      <w:r>
        <w:rPr>
          <w:color w:val="000000"/>
          <w:u w:val="none"/>
        </w:rPr>
        <w:t xml:space="preserve"> </w:t>
      </w:r>
      <w:r>
        <w:rPr>
          <w:color w:val="000000"/>
          <w:u w:val="none"/>
        </w:rPr>
        <w:t xml:space="preserve"> </w:t>
      </w:r>
      <w:r>
        <w:rPr>
          <w:rFonts w:ascii="CambriaMath" w:hAnsi="CambriaMath" w:eastAsia="CambriaMath"/>
          <w:b w:val="0"/>
          <w:i w:val="0"/>
          <w:color w:val="000000"/>
          <w:sz w:val="20"/>
          <w:u w:val="none"/>
        </w:rPr>
        <w:t xml:space="preserve">=   </w:t>
      </w:r>
      <w:r>
        <w:rPr>
          <w:rFonts w:ascii="CambriaMath" w:hAnsi="CambriaMath" w:eastAsia="CambriaMath"/>
          <w:b w:val="0"/>
          <w:i w:val="0"/>
          <w:color w:val="000000"/>
          <w:sz w:val="14"/>
          <w:u w:val="none"/>
        </w:rPr>
        <w:t xml:space="preserve">σ  i=1  </w:t>
      </w:r>
      <w:r>
        <w:rPr>
          <w:rFonts w:ascii="CambriaMath" w:hAnsi="CambriaMath" w:eastAsia="CambriaMath"/>
          <w:b w:val="0"/>
          <w:i w:val="0"/>
          <w:color w:val="000000"/>
          <w:sz w:val="20"/>
          <w:u w:val="none"/>
        </w:rPr>
        <w:t xml:space="preserve"> A </w:t>
      </w:r>
      <w:r>
        <w:rPr>
          <w:rFonts w:ascii="CambriaMath" w:hAnsi="CambriaMath" w:eastAsia="CambriaMath"/>
          <w:b w:val="0"/>
          <w:i w:val="0"/>
          <w:color w:val="000000"/>
          <w:sz w:val="14"/>
          <w:u w:val="none"/>
        </w:rPr>
        <w:t xml:space="preserve"> i </w:t>
      </w:r>
      <w:r>
        <w:rPr>
          <w:rFonts w:ascii="CambriaMath" w:hAnsi="CambriaMath" w:eastAsia="CambriaMath"/>
          <w:b w:val="0"/>
          <w:i w:val="0"/>
          <w:color w:val="000000"/>
          <w:sz w:val="20"/>
          <w:u w:val="none"/>
        </w:rPr>
        <w:t xml:space="preserve"> B  </w:t>
      </w:r>
      <w:r>
        <w:rPr>
          <w:rFonts w:ascii="CambriaMath" w:hAnsi="CambriaMath" w:eastAsia="CambriaMath"/>
          <w:b w:val="0"/>
          <w:i w:val="0"/>
          <w:color w:val="000000"/>
          <w:sz w:val="14"/>
          <w:u w:val="none"/>
        </w:rPr>
        <w:t>i</w:t>
      </w:r>
    </w:p>
    <w:p>
      <w:pPr>
        <w:autoSpaceDN w:val="0"/>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A  B σ  </w:t>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 xml:space="preserve"> d</w:t>
      </w:r>
      <w:r>
        <w:rPr>
          <w:color w:val="000000"/>
          <w:u w:val="none"/>
        </w:rPr>
      </w:r>
    </w:p>
    <w:p>
      <w:pPr>
        <w:autoSpaceDN w:val="0"/>
        <w:autoSpaceDE w:val="0"/>
        <w:widowControl/>
        <w:spacing w:line="138" w:lineRule="exact" w:before="0" w:after="0"/>
        <w:ind w:left="0"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i   2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 xml:space="preserve">σ    </w:t>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i 2</w:t>
      </w:r>
      <w:r>
        <w:rPr>
          <w:color w:val="000000"/>
          <w:u w:val="none"/>
        </w:rPr>
      </w:r>
      <w:r>
        <w:rPr>
          <w:color w:val="000000"/>
          <w:u w:val="none"/>
        </w:rPr>
      </w:r>
      <w:r>
        <w:rPr>
          <w:rFonts w:ascii="CambriaMath" w:hAnsi="CambriaMath" w:eastAsia="CambriaMath"/>
          <w:b w:val="0"/>
          <w:i w:val="0"/>
          <w:color w:val="000000"/>
          <w:sz w:val="14"/>
          <w:u w:val="none"/>
        </w:rPr>
      </w:r>
    </w:p>
    <w:p>
      <w:pPr>
        <w:autoSpaceDN w:val="0"/>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The  cosine  similarity  measures  the  angle  between  the  two  vectors  in  the   high‑dimensional embedding space. A value close to 1 indicates that the vectors point   in  nearly  the  same  direction,  meaning  the  two  voices  are  perceived  as  highly  similar   or  almost  identical  in  terms  of  speaker  identity(Jia  et  al.,  2018;  Wan  et  al.,  2018).   Conversely,  a  value  close  to  0  or  negative  would  suggest  dissimilar  speakers.  Thus,   Resemblyzer provides an objective, automatic, and reproducible metric for evaluating   how  faithfully  a  voice  cloning  system  preserves  the  original  speaker’s  vocal   characteristics.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DNSMOS(Deep Noise Suppression Mean Opinion Score) is a non-intrusive, deep  learning–based metric designed to estimate the perceptual quality of speech signals  without requiring a clean reference audio signal(Reddy et al., 2021). This makes 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Author and S. Author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Experiments and Results</w:t>
      </w:r>
      <w:r>
        <w:rPr>
          <w:rFonts w:ascii="TimesNewRomanPS" w:hAnsi="TimesNewRomanPS" w:eastAsia="TimesNewRomanPS"/>
          <w:b/>
          <w:i w:val="0"/>
          <w:color w:val="000000"/>
          <w:sz w:val="24"/>
          <w:u w:val="none"/>
        </w:rPr>
      </w:r>
    </w:p>
    <w:p>
      <w:pPr>
        <w:autoSpaceDN w:val="0"/>
        <w:autoSpaceDE w:val="0"/>
        <w:widowControl/>
        <w:spacing w:line="240" w:lineRule="exact" w:before="236" w:after="0"/>
        <w:ind w:left="0" w:right="0" w:firstLine="0"/>
        <w:jc w:val="left"/>
      </w:pPr>
      <w:r>
        <w:rPr>
          <w:rFonts w:ascii="TimesNewRomanPS" w:hAnsi="TimesNewRomanPS" w:eastAsia="TimesNewRomanPS"/>
          <w:b/>
          <w:i w:val="0"/>
          <w:color w:val="000000"/>
          <w:sz w:val="20"/>
          <w:u w:val="none"/>
        </w:rPr>
        <w:t xml:space="preserve">Training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Dataset. The system was trained and evaluated using the viVoice corpus (Le, 2024), the first publicly available large‑scale Vietnamese speech dataset designed  for multi‑speaker text‑to‑speech. viVoice comprises over 1,000 hours of cleaned  audio and accompanying transcriptions sourced from 186 YouTube channels. All  audio samples are provided at a 24 kHz sampling rate in WAV format, with  background music and noise removed to ensure clean training data. The dataset  covers a wide variety of speakers, accents (Northern, Central, Southern), and speaking  styles, making it particularly suitable for training robust multi‑speaker Vietnamese  TTS models such as XTTS‑v2. viVoice is released under the CC BY‑NC‑SA 4.0  license.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preprocessing pipeline was designed to eliminate variability that could degrade  speaker similarity. Steps included:(i) manual verification of transcript accuracy to  ensure perfect alignment;(ii) text normalization using VietNormalizer(Do, 2026) to  expand abbreviations, convert numbers to words, and standardize punctuation;(iii)  phonetic alignment with a forced aligner trained on Vietnamese, yielding frame‑level  phoneme boundaries;(iv) energy‑based silence stripping at the beginning and end of  utterances to remove leading/trailing silence; and(v) loudness normalization to−23 LUFS to maintain consistent perceived volume across speakers. Crucially, for  each speaker a high‑quality speaker embedding was extracted using the Resemblyzer  encoder and stored as a reference vector. Conditioning the generative model on these  embeddings during training encourages the decoder to preserve speaker identity,  which directly contributed to the high cosine similarity scores (0.90+) observed in the  experiments.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0" w:right="0" w:firstLine="0"/>
        <w:jc w:val="left"/>
      </w:pPr>
      <w:r>
        <w:rPr>
          <w:rFonts w:ascii="TimesNewRomanPS" w:hAnsi="TimesNewRomanPS" w:eastAsia="TimesNewRomanPS"/>
          <w:b/>
          <w:i w:val="0"/>
          <w:color w:val="000000"/>
          <w:sz w:val="20"/>
          <w:u w:val="none"/>
        </w:rPr>
        <w:t xml:space="preserve">Experimental Setup.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The evaluation was conducted on a GIGABYTE G5 GD  laptop, a gaming‑oriented notebook whose specifications are listed in Table 1.  Notably, the system features a dedicated NVIDIA GeForce RTX GPU(Ampere  architecture, discrete) alongside an integrated Intel UHD Graphics adapter. However,  the PyTorch environment used for inference was a CPU‑only build, meaning all  synthesis operations ran on the Intel Core i5‑11400H CPU without GPU acceleration.  This configuration reflects a common deployment scenario where CUDA drivers or  libraries are not installed, or where the system prioritizes compatibility over  maximum speed.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Table 1. System configuration of the test platform.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CPU </w:t>
              <w:br/>
              <w:t xml:space="preserve">RAM </w:t>
              <w:br/>
              <w:t xml:space="preserve">GPU </w:t>
              <w:br/>
              <w:t>Discrete GPU  OS</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cores, 12  threads, 2.70 GHz base) </w:t>
              <w:br/>
              <w:t xml:space="preserve">16 GB DDR4 (15.8 GB usable) </w:t>
              <w:br/>
              <w:t xml:space="preserve">Intel UHD Graphics (integrated) </w:t>
              <w:br/>
              <w:t xml:space="preserve">NVIDIA GeForce RTX (Ampere,  dedicated) </w:t>
              <w:br/>
              <w:t>Windows 11 Home Single Language</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(Build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0" w:right="0" w:firstLine="0"/>
        <w:jc w:val="left"/>
      </w:pPr>
      <w:r>
        <w:rPr>
          <w:rFonts w:ascii="TimesNewRomanPS" w:hAnsi="TimesNewRomanPS" w:eastAsia="TimesNewRomanPS"/>
          <w:b/>
          <w:i w:val="0"/>
          <w:color w:val="000000"/>
          <w:sz w:val="20"/>
          <w:u w:val="none"/>
        </w:rPr>
        <w:t xml:space="preserve">Voice Similarity and Speech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Quality. The system was evaluated by comparing  original and synthesized(cloned) speech samples from four speakers. Each sample  pair consisted of a reference.wav file and its clone. Two assessment methods were  applied: Resemblyzer for voice similarity (Wan et al., 2018; Mishra et al., 2023), and  DNSMOS for perceived audio quality(Reddy et al., 2021). Voice similarity results  are presented in Table 2. All pairs achieve a cosine similarity of approximately 0.90 (ranging from 0.9013 to 0.9346), confirming that the VITS model, despite running on  the CPU, preserves vocal timbre and speaker identity remarkably well(Jia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Voice similarity results for the viXTTS model are presented in Table 2. All pairs  achieve a cosine similarity of approximately 0.90(ranging from 0.9013 to 0.9346),  confirming that the model preserves vocal timbre and speaker identity remarkably  well(Jia et al., 2018). Speaker similarity for other engines was not measured in this  evaluation run, as most of them do not natively support voice cloning or require a  separate reference embedding extraction step.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Table 2. Voice similarity between original and cloned speech.</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và giong_clone  Danh_1 và Danh_clone </w:t>
              <w:br/>
              <w:t>Khang1 và Khang_clone  Ngoc1 và Ngoc_clone</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0" w:right="0" w:firstLine="0"/>
              <w:jc w:val="left"/>
            </w:pPr>
            <w:r>
              <w:rPr>
                <w:rFonts w:ascii="TimesNewRomanPSMT" w:hAnsi="TimesNewRomanPSMT" w:eastAsia="TimesNewRomanPSMT"/>
                <w:b w:val="0"/>
                <w:i w:val="0"/>
                <w:color w:val="000000"/>
                <w:sz w:val="18"/>
                <w:u w:val="none"/>
              </w:rPr>
              <w:t xml:space="preserve">0.9038 </w:t>
            </w:r>
            <w:r>
              <w:rPr>
                <w:color w:val="000000"/>
                <w:u w:val="none"/>
              </w:rPr>
              <w:br/>
            </w:r>
            <w:r>
              <w:rPr>
                <w:rFonts w:ascii="TimesNewRomanPSMT" w:hAnsi="TimesNewRomanPSMT" w:eastAsia="TimesNewRomanPSMT"/>
                <w:b w:val="0"/>
                <w:i w:val="0"/>
                <w:color w:val="000000"/>
                <w:sz w:val="18"/>
                <w:u w:val="none"/>
              </w:rPr>
              <w:t xml:space="preserve">0.9019 </w:t>
            </w:r>
            <w:r>
              <w:rPr>
                <w:color w:val="000000"/>
                <w:u w:val="none"/>
              </w:rPr>
              <w:br/>
            </w:r>
            <w:r>
              <w:rPr>
                <w:rFonts w:ascii="TimesNewRomanPSMT" w:hAnsi="TimesNewRomanPSMT" w:eastAsia="TimesNewRomanPSMT"/>
                <w:b w:val="0"/>
                <w:i w:val="0"/>
                <w:color w:val="000000"/>
                <w:sz w:val="18"/>
                <w:u w:val="none"/>
              </w:rPr>
              <w:t xml:space="preserve">0.9346 </w:t>
            </w:r>
            <w:r>
              <w:rPr>
                <w:color w:val="000000"/>
                <w:u w:val="none"/>
              </w:rPr>
              <w:br/>
            </w:r>
            <w:r>
              <w:rPr>
                <w:rFonts w:ascii="TimesNewRomanPSMT" w:hAnsi="TimesNewRomanPSMT" w:eastAsia="TimesNewRomanPSMT"/>
                <w:b w:val="0"/>
                <w:i w:val="0"/>
                <w:color w:val="000000"/>
                <w:sz w:val="18"/>
                <w:u w:val="none"/>
              </w:rPr>
              <w:t>0.9013</w:t>
            </w:r>
          </w:p>
        </w:tc>
      </w:tr>
    </w:tbl>
    <w:p>
      <w:pPr>
        <w:autoSpaceDN w:val="0"/>
        <w:autoSpaceDE w:val="0"/>
        <w:widowControl/>
        <w:spacing w:line="240" w:lineRule="exact" w:before="274" w:after="0"/>
        <w:ind w:left="0" w:right="0" w:firstLine="0"/>
        <w:jc w:val="left"/>
      </w:pPr>
      <w:r>
        <w:rPr>
          <w:rFonts w:ascii="TimesNewRomanPSMT" w:hAnsi="TimesNewRomanPSMT" w:eastAsia="TimesNewRomanPSMT"/>
          <w:b w:val="0"/>
          <w:i w:val="0"/>
          <w:color w:val="000000"/>
          <w:sz w:val="20"/>
          <w:u w:val="none"/>
        </w:rPr>
        <w:t>Speech quality results from DNSMOS across all seven evaluated engines are  summarized in Table 3. Four metrics were recorded: OVRL(overall quality), SIG (speech quality), BAK (background noise intrusiveness), and the supplementary P808  score (an overall listening quality estimator aligned with ITU‑T P.808). Scores are on  the standard 1–5 Mean Opinion Score scale, where higher values indicate better  perceptual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Table 3. DNSMOS evaluation of synthesized Vietnamese speech quality..</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Proposed viXTTS-based</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Piper_Vietnamese_TTS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Vietnamese</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VietnameseTTS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VietnameseTTS.wav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Valtec_Vietnamese.wav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The DNSMOS evaluation results show noticeable differences in synthesized  Vietnamese speech quality among the evaluated TTS systems. Overall, the proposed  viXTTS-based voice cloning system, represented by giong_clone.wav, achieves the  highest OVRL MOS score of 3.38 and the highest SIG MOS score of 3.60. These  results indicate that the proposed system produces speech with strong overall  perceptual quality and clear speech signals. The high BAK MOS score of 4.14 also  suggests that the generated audio contains very little background noise. Therefore, the  viXTTS-based model demonstrates strong performance in both speech clarity and  noise suppression.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Among   the   compared   systems,  Valtec_Vietnamese.wav  also  performs   competitively,  with  an  OVRL  MOS  of  3.37  and  a  SIG  MOS  of  3.58,  which  are  very   close  to  the  proposed  system.  In  addition,  this  model  obtains  the  highest  P808  MOS   score  of  4.21,  suggesting  that  listeners  may  perceive  its  overall  audio  quality   favorably. However,  the  proposed giong_clone.wav  still  slightly outperforms  it in  the   two  main  DNSMOS  indicators,  OVRL  and  SIG.  This  suggests  that  the  proposed   model  has  a  small  but  measurable  advantage  in  terms  of  overall  speech  quality  and   signal clarity.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VietNeu_TTS.wav model also achieves strong results, with an OVRL MOS of  3.31, SIG MOS of 3.54, BAK MOS of 4.16, and P808 MOS of 3.68. These scores  place it in the high-performing group, especially in terms of background noise  suppression. Its BAK score is among the highest in the comparison, showing that the  generated audio is clean and stable. Although its overall and signal quality scores are  slightly lower than those of giong_clone.wav and Valtec_Vietnamese.wav, it remains  a reliable model for Vietnamese speech synthesis.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middle-performing   group  includes  Valtec  Vietnamese  TTS_ver2.wav,   VietTTS.wav,  and  Piper_Vietnamese_TTS.  These  models  obtain  OVRL  MOS  scores   ranging  from  3.00  to  3.07,  indicating  acceptable  but  not  outstanding  synthesized   speech  quality.  Their  SIG  MOS  scores,  ranging  from  3.25  to  3.40,  suggest  that  the   speech  signal  is  reasonably  clear  but  still  less  natural  or  less  detailed  than  the  top-performing systems. Notably, VietTTS.wav achieves a high BAK MOS score of 4.15,   showing  that  its  audio  output  is  relatively  clean.  However,  its  lower  OVRL  and  SIG   scores  indicate  that  background  cleanliness  alone  is  not  sufficient  to  ensure  high   overall speech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lowest-performing system is VietnameseTTS.wav, which obtains an OVRL  MOS of 2.07, SIG MOS of 2.75, BAK MOS of 2.86, and P808 MOS of 2.73. These  scores are substantially lower than those of the other models. In particular, the low  OVRL and SIG scores suggest that the synthesized speech may contain noticeable  artifacts, reduced naturalness, or unclear pronunciation. The low BAK score also  indicates that the audio may include more background interference or noise compared  with the other systems.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A general trend can be observed across the stronger models: most systems achieve  high BAK MOS scores above 4.0, which means that modern Vietnamese TTS models  are generally effective at producing clean audio with limited background noise.  However, differences in OVRL and SIG scores show that clean audio does not always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guarantee natural and intelligible speech. Speech naturalness, clarity, and signal  quality remain important factors in distinguishing the best-performing models.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In summary, the proposed viXTTS-based voice cloning model giong_clone.wav  achieves the best overall performance in terms of OVRL and SIG MOS, making it the  strongest system in this comparison. Valtec_Vietnamese.wav and VietNeu_TTS.wav  also demonstrate competitive performance and can be considered strong alternatives.  Meanwhile, VietnameseTTS.wav shows the weakest results and may require further  optimization to improve speech naturalness, clarity, and background noise control.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 xml:space="preserve">Real‑Time Performance and Latency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 xml:space="preserve">Analysis: The most critical performance metric of the current prototype is the end‑to‑end synthesis latency. For a typical input text of 750 characters (equivalent to approximately 50 seconds of generated audio at a standard Vietnamese speaking rate of about 900 characters per minute), the system requires roughly 2 minutes and 50 seconds(170 seconds) to produce the final WAV file. This yields a Real‑Time Factor(RTF) of approximately 3.4, well above the real‑time threshold of 1.0. The latency is not fixed, however; it varies measurably depending on the linguistic complexity of the input text. Two factors dominate the additional processing overhead: Emotion tags.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Each emotional boundary forces a new synthesis chunk with a separate viXTTS inference call, leading to multiple context switch and model loading overheads. More tags increase the number of chunks and the cumulative pause insertion time.</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 xml:space="preserve"> </w:t>
      </w:r>
      <w:r>
        <w:rPr>
          <w:rFonts w:ascii="TimesNewRomanPSMT" w:hAnsi="TimesNewRomanPSMT" w:eastAsia="TimesNewRomanPSMT"/>
          <w:b w:val="0"/>
          <w:i w:val="0"/>
          <w:color w:val="000000"/>
          <w:sz w:val="20"/>
          <w:u w:val="none"/>
        </w:rPr>
        <w:t> English words and non Vietnamese segments. These require extra  grapheme to phoneme steps within the text normalization layer (Do,  2026), and may introduce attention errors that force the decoder to retry  alignment, adding to the total runtime.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observed latency stems from running the full VITS pipeline on the CPU without  utilizing the available RTX GPU. The CPU‑only PyTorch build cannot exploit the  massive parallelism of the GPU’s tensor cores, leaving matrix multiplications and  convolutions to be computed sequentially. Despite this, the system remains acceptable  for near‑line content creation tasks such as podcast dubbing, educational narration, or  voicemail generation—applications where a few minutes of rendering time are  tolerated in exchange for high‑quality, emotionally expressive output.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Critically, the machine is equipped with an NVIDIA GeForce RTX GPU, which is fully capable of accelerating the inference. Moving to a CUDA‑enabled PyTorch installation would reduce the RTF to well below 0.1 (based on typical GPU benchmarks for VITS), enabling real‑time streaming synthesis. In addition, model quantization to FP16 or INT8, and switching to optimized inference engines like ONNX Runtime with OpenVINO, could further halve latency while preserving the high similarity and MOS scores.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Conclusion</w:t>
      </w:r>
      <w:r>
        <w:rPr>
          <w:rFonts w:ascii="TimesNewRomanPS" w:hAnsi="TimesNewRomanPS" w:eastAsia="TimesNewRomanPS"/>
          <w:b/>
          <w:i w:val="0"/>
          <w:color w:val="000000"/>
          <w:sz w:val="24"/>
          <w:u w:val="none"/>
        </w:rPr>
      </w:r>
    </w:p>
    <w:p>
      <w:pPr>
        <w:autoSpaceDN w:val="0"/>
        <w:autoSpaceDE w:val="0"/>
        <w:widowControl/>
        <w:spacing w:line="240" w:lineRule="exact" w:before="230" w:after="0"/>
        <w:ind w:left="0" w:right="0" w:firstLine="0"/>
        <w:jc w:val="left"/>
      </w:pPr>
      <w:r>
        <w:rPr>
          <w:rFonts w:ascii="TimesNewRomanPSMT" w:hAnsi="TimesNewRomanPSMT" w:eastAsia="TimesNewRomanPSMT"/>
          <w:b w:val="0"/>
          <w:i w:val="0"/>
          <w:color w:val="000000"/>
          <w:sz w:val="20"/>
          <w:u w:val="none"/>
        </w:rPr>
        <w:t>In this research, a Vietnamese text‑to‑speech system based on artificial intelligence  and deep learning was thoroughly designed, implemented, and evaluated. The system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exploits modern models such as Tacotron, FastSpeech, and VITS to automatically  convert text into natural speech signals, learning the unique phonetic and prosodic  features of Vietnamese. Experimental outcomes show that the proposed model  generates clear, natural speech with appropriate intonation and maintains stable  performance across various conditions and contexts.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achieved  results  not  only  validate  the  effectiveness  of  deep  learning  in   Vietnamese  speech  synthesis  but  also  highlight  the  system’s  broad  applicability  in   practice,  notably  in  virtual  assistants,  education,  automatic  call  centers,  and  assistive   tools  for  the  visually  impaired.  Future  work  may  focus  on  expanding  and  enriching   the   speech   dataset,  improving  regional  naturalness,  optimizing  models  for   resource‑constrained  devices,  and  integrating  the  system  into  real‑world  platforms  to   enhance feasibility and usability.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References</w:t>
      </w:r>
    </w:p>
    <w:p>
      <w:pPr>
        <w:autoSpaceDN w:val="0"/>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YourTTS:  Towards  zero-shot  multi-speaker  TTS  and  zero-shot  voice  conversion  for  everyone. arXiv. https://arxiv.org/abs/2112.02418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https://arxiv.org/abs/1406.2661 </w:t>
        <w:br/>
        <w:t xml:space="preserve">8.  Hsu,  W.  N.,  Bolte,  B.,  Tsai,  Y.  H.  H.,  Lakhotia,  K.,  Salakhutdinov,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(2021). HuBERT:  Self-supervised  speech  representation  learning  by  masked  prediction  of  hidden units. arXiv. https://arxiv.org/abs/2104.05136 </w:t>
        <w:br/>
        <w:t xml:space="preserve">9.  Ito,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K.,&amp;Johnson,  L.(2017).  The  LJ  Speech  Dataset.  https://keithito.com/LJ-Speech- Dataset/ </w:t>
        <w:br/>
        <w:t xml:space="preserve">10.  Jia,  Y., Zhang, Y.,  Weiss, R.  J., Wang,  Q., Shen,  J.,  Ren, X., Chen, Z., Nguyen,  P., Pang,  R.,  Moreno,  I.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L.,&amp;Wu,  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13</w:t>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Robust  speech  recognition  via  large-scale  weak  supervision.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https://arxiv.org/abs/2010.15258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Natural TTS synthesis by conditioning WaveNet on mel spectrogram predictions.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Author and S. Author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Polosukhin, I. (2017). Attention is all you need. arXiv. https://arxiv.org/abs/1706.03762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arXiv. https://arxiv.org/abs/2506.01322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speaker verification. In 2018 IEEE International Conference on Acoustics, Speech and Signal  Processing  (ICASSP)  (pp.  4879–4883).  IEEE.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Y., Chen, Z., Bengio, S., Le, Q., Agiomyrgiannakis, Y., Clark, R.,&amp;Saurous, R. A. (2017).  Tacotron:  Towards  end-to-end  speech  synthesis.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Jia, Y., Ren, F.,&amp;Saurous, R. A.(2018). Style tokens: Unsupervised style modeling, control  and  transfer  in  end-to-end  speech  synthesis.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speaker corpus for CSTR voice cloning toolkit(Version 0.92). University of Edinburgh. https://datashare.ed.ac.uk/handle/10283/3443</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LibriTTS:  A  corpus  derived  from  LibriSpeech  for  text-to-speech.  arXiv. https://arxiv.org/abs/1904.02882</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speech. Hugging Face. https://huggingface.co/datasets/capleaf/viVoice</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