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Automatic Text-to-Speech System for Vietnamese Using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Anh-Khoa </w:t>
      </w:r>
      <w:r>
        <w:rPr>
          <w:rFonts w:ascii="TimesNewRomanPSMT" w:hAnsi="TimesNewRomanPSMT" w:eastAsia="TimesNewRomanPSMT"/>
          <w:b w:val="0"/>
          <w:i w:val="0"/>
          <w:color w:val="000000"/>
          <w:sz w:val="13"/>
          <w:u w:val="none"/>
        </w:rPr>
        <w:t xml:space="preserve">1 </w:t>
      </w:r>
      <w:r>
        <w:rPr>
          <w:rFonts w:ascii="TimesNewRomanPSMT" w:hAnsi="TimesNewRomanPSMT" w:eastAsia="TimesNewRomanPSMT"/>
          <w:b w:val="0"/>
          <w:i w:val="0"/>
          <w:color w:val="000000"/>
          <w:sz w:val="20"/>
          <w:u w:val="none"/>
        </w:rPr>
        <w:t xml:space="preserve">and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left"/>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 xml:space="preserve"> Faculty of Information Technology, Nam Can Tho University, 168 Nguyen Van Cu Street, An</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Binh Ward, Can Tho City danh223566@studentnctu.edu.vn, , nhakhoi@nctu.ed</w:t>
      </w:r>
      <w:r>
        <w:rPr>
          <w:rFonts w:ascii="TimesNewRomanPSMT" w:hAnsi="TimesNewRomanPSMT" w:eastAsia="TimesNewRomanPSMT"/>
          <w:b w:val="0"/>
          <w:i w:val="0"/>
          <w:color w:val="000000"/>
          <w:sz w:val="18"/>
          <w:u w:val="none"/>
        </w:rPr>
      </w:r>
    </w:p>
    <w:p>
      <w:pPr>
        <w:autoSpaceDN w:val="0"/>
        <w:autoSpaceDE w:val="0"/>
        <w:widowControl/>
        <w:spacing w:line="250" w:lineRule="exact" w:before="522" w:after="0"/>
        <w:ind w:left="0" w:right="0" w:firstLine="0"/>
        <w:jc w:val="left"/>
      </w:pPr>
      <w:r>
        <w:rPr>
          <w:rFonts w:ascii="TimesNewRomanPS" w:hAnsi="TimesNewRomanPS" w:eastAsia="TimesNewRomanPS"/>
          <w:b/>
          <w:i w:val="0"/>
          <w:color w:val="000000"/>
          <w:sz w:val="18"/>
          <w:u w:val="none"/>
        </w:rPr>
        <w:t xml:space="preserve">Abstract. </w:t>
      </w:r>
      <w:r>
        <w:rPr>
          <w:rFonts w:ascii="TimesNewRomanPSMT" w:hAnsi="TimesNewRomanPSMT" w:eastAsia="TimesNewRomanPSMT"/>
          <w:b w:val="0"/>
          <w:i w:val="0"/>
          <w:color w:val="000000"/>
          <w:sz w:val="18"/>
          <w:u w:val="none"/>
        </w:rPr>
        <w:t xml:space="preserve"> In the context of digital transformation and the rapid advancement of</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artificial intelligence, the demand for Text‑to‑Speech(TTS) systems has become increasingly critical across domains such as virtual assistants, education, automatic call centers, and accessibility tools for the visually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impaired.  However,  generating   natural,   context‑aware,   and  prosodically</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appropriate  speech  remains   a   significant  challenge,  particularly  for</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Vietnamese—a tonal language with complex pitch contours and regional diversity. This research proposes and develops a Vietnamese TTS system built upon modern deep learning models to overcome the limitations of traditional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methods.  The  system  leverages  state‑of‑the‑art   architectures  including</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Tacotron, FastSpeech, and VITS, combined with machine learning techniques to enhance synthesis quality. Construction and evaluation are performed on a diverse Vietnamese dataset, ensuring adaptability to multiple real‑world contexts. Results demonstrate that the system achieves natural, clear, highly flexible speech output with broad potential for deployment in digital platforms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and intelligent services.</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Keywords: </w:t>
      </w:r>
      <w:r>
        <w:rPr>
          <w:rFonts w:ascii="TimesNewRomanPSMT" w:hAnsi="TimesNewRomanPSMT" w:eastAsia="TimesNewRomanPSMT"/>
          <w:b w:val="0"/>
          <w:i w:val="0"/>
          <w:color w:val="000000"/>
          <w:sz w:val="18"/>
          <w:u w:val="none"/>
        </w:rPr>
        <w:t xml:space="preserve"> Text‑to‑Speech (TTS), Artificial Intelligence (AI), Deep Learning,</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Natural Language Processing (NLP), Speech Synthesis.</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Introduction</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left"/>
      </w:pPr>
      <w:r>
        <w:rPr>
          <w:rFonts w:ascii="TimesNewRomanPSMT" w:hAnsi="TimesNewRomanPSMT" w:eastAsia="TimesNewRomanPSMT"/>
          <w:b w:val="0"/>
          <w:i w:val="0"/>
          <w:color w:val="000000"/>
          <w:sz w:val="20"/>
          <w:u w:val="none"/>
        </w:rPr>
        <w:t>Driven by digital transformation and the progress of artificial intelligence, the need to build Text‑to‑Speech(TTS) systems is becoming ever more important in areas such as virtual assistants, education, automatic call centers, and support for the visually impaired. The TTS problem, however, extends beyond simply converting text into</w:t>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audio; it demands that the synthesized voice be natural, carry appropriate intonation, and fit the given context—a particularly difficult task for Vietnamese, a language with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a complex tone system and substantial regional variation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Traditional concatenative and formant‑based TTS methods(Zen et al., 2019) and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Hidden Markov Model(HMM)‑based synthesis(Zen et al., 2019) exhibit limitations in flexibility, naturalness, and scalability. In response, modern deep learning models such as Tacotron (Wang et al., 2017), Tacotron 2 (Shen et al., 2018), FastSpeech (Ren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left"/>
      </w:pPr>
      <w:r>
        <w:rPr>
          <w:rFonts w:ascii="TimesNewRomanPSMT" w:hAnsi="TimesNewRomanPSMT" w:eastAsia="TimesNewRomanPSMT"/>
          <w:b w:val="0"/>
          <w:i w:val="0"/>
          <w:color w:val="000000"/>
          <w:sz w:val="20"/>
          <w:u w:val="none"/>
        </w:rPr>
        <w:t>et al., 2019,2020), and VITS(Kim et al., 2021) have opened more effective avenues  by learning directly from data. Building on these advances, this study focuses on the  research and development of a Vietnamese TTS system aimed at improving voice  quality and practical applicability.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Related Work</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The Vietnamese TTS market features several prominent domestic platforms alongside international solutions. FPT Smart Cloud Text to Speech, developed by FPT Corporation, delivers a high‑quality Vietnamese TTS service through a commercial API(Vu et al., 2025; Nguyen, 2023). It applies deep learning architectures such as Tacotron(Wang et al., 2017) and Transformer variants(Vaswani et al., 2017) together with vocoders like WaveNet(Oord et al., 2016) and HiFi‑GAN(Kong et al., 2020) to produce natural, region‑diverse voices with controllable speed, pitch, and pausing. The system is extensively used in interactive voice response(IVR), audiobooks, virtual assistants, and online education (Do, 2026). Viettel AI Text‑to‑Speech offers a SaaS‑based solution optimized for Vietnamese(Vu et al., 2025; Nguyen, 2023), employing advanced neural models trained on large‑scale, Vietnamese‑specific speech corpora to ensure accurate pronunciation, natural breaks, and expressive output(Do, 2026; Oord et al., 2016; Kong et al., 2020). Zalo AI Text to Speech, a product of VNG Corporation, integrates deep NLP models like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PhoBERT(Nguyen&amp;Tuan, 2020) and BERT‑style pre‑training(Devlin et al., 2019) with synthesis architectures including Tacotron, FastSpeech, and VITS(Wang et al., 2017; Ren et al., 2019; Kim et al., 2021), leveraging massive user data to support multiple speaking styles(Vu et al., 2025). Voice.vn specializes in speech synthesis and voice cloning(Vu et al., 2025) using end‑to‑end models like VITS(Kim et al., 2021) and voice conversion techniques(Casanova et al., 2022; Chen et al., 2022), enabling high‑fidelity voice cloning and customization for advertising, podcasting, and gaming. Google AI Studio provides a cloud‑based environment for TTS via the Gemini family and Google Cloud Text‑to‑Speech(Vaswani et al., 2017; Ren et al., 2019), featuring multi‑lingual, natural, and context‑adaptive voice generation (Casanova et al., 2022; Shen et al., 2018). EventLab offers TTS and voice cloning tools built on end‑to‑end TTS(Wang et al., 2017) and speaker embedding models (Chen et al., 2022; Kim et al., 2021; Casanova et al., 2022). Overall, the market is shifting from simple text‑reading systems toward intelligent communication platforms, with strong trends in voice cloning (Jia et al., 2018) and multimodal 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open‑source community has contributed a range of Vietnamese TTS models.  VietTTS is a representative system built with encoder‑decoder or Transformer  architectures(Wang et al., 2017; Vaswani et al., 2017; Ren et al., 2019), trained on  carefully normalized Vietnamese data(Do, 2026) to handle tones, compound words,  and sentence structures, offering near‑real‑time latency suitable for virtual assistants,  e‑learning, and audiobook production(Nguyen, 2023; Vu et al., 2025). NeuTTS‑Air  focuses on lightweight, efficient inference, balancing voice quality and speed to  operate on CPUs or low‑resource devices(Ren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3</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optimized for chatbots, IVR, and IoT applications (Ping et al., 2017; Kalchbrenner et  al., 2018). Kani‑TTS is a large‑scale model with approximately 370 million  parameters, aiming for high expressiveness and professional audio quality (Kim et al.,  2021; Casanova et al., 2022), excelling in audiobook and media production but  requiring powerful GPUs for deployment(Ren et al., 2019; Ping et al., 2017;  Kalchbrenner et al., 2018). VieNeu‑TTS combines TTS with voice cloning, extracting  speaker characteristics via techniques like AutoVC(Qian et al., 2019) and  StarGAN‑VC(Kameoka et al., 2018) and applying them to synthesized speech (Casanova et al., 2022; Jia et al., 2018), enabling strong personalization but also  raising ethical and security concerns. ViXTTS serves as a demonstration project for  voice cloning, illustrating the technology for rapid experimentation(Thinh, 2024;  Kim et al., 2021). Valtec‑TTS is a compact model optimized for extremely  resource‑constrained environments such as embedded devices and IoT(Ren et al.,  2019,2020; Ping et al., 2017; Kalchbrenner et al., 2018), delivering adequate clarity  for simple notification and guidance applications. Collectively, these models illustrate  the maturation of Vietnamese TTS, with specialized branches ranging from  high‑quality synthesis to lightweight deployment and voice personalization.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 xml:space="preserve">Data quality is foundational for TTS. The VLSP Speech Corpus is a large,  acadeically oriented dataset with multi‑speaker recordings in controlled conditions (Ardila et al., 2020; Vu et al., 2025), richly annotated with phonetic and regional  information(Yamagishi et al., 2019; Do, 2026). VIVOS is a smaller open‑source  corpus (around 10–20 hours) of clean read speech (Ardila et al., 2020; Ito &amp; Johnson,  2017), widely used for initial modeling despite limited emotional and real‑world  diversity(Do, 2026). Commercial datasets from FPT Corporation, Viettel Group, and  VNG Corporation are far larger and more detailed. FPT’s dataset comprises hundreds  to thousands of hours of studio‑quality recordings with exhaustive annotations (Vu et  al., 2025; Do, 2026; Oord et al., 2016; Kong et al., 2020). Viettel’s data blends studio  and real‑world recordings covering diverse accents (Vu et al., 2025; Yamagishi et al.,  2019; Jia et al., 2018; Do, 2026). Zalo’s data benefits from its broad user ecosystem,  incorporating contemporary language use(Vu et al., 2025;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Nguyen&amp;Tuan, 2020;  Devlin et al., 2019; Kim et al., 2021). Additionally, VietTTS provides a basic open  dataset with text–audio pairs sufficient for small‑scale experiments(Nguyen,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 2017; Vu et al., 2025). Overall, dataset scale, diversity, annotation  depth, and realism directly determine TTS performance.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System Design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Early  TTS  systems  relied  on  concatenative  and  formant‑based  methods,  which   assemble  or  mathematically  model  speech  units  but  suffer  from  inflexibility,  high   database  costs,  and  unnatural  prosody(Zen  et  al.,  2019).  Statistical  parametric   synthesis  using  Hidden  Markov  Models(HMM)  improved  flexibility  but  still   produced  monotonous,  less  natural  output(Zen  et  al.,  2019).  The  advent  of  deep   learning  brought  end‑to‑end  models  such  as  Tacotron  and  Tacotron  2,  which  employ   encoder–decoder  architectures  with  attention  to  directly  map  text  to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 xml:space="preserve">mel‑spectrograms, followed by vocoders like WaveNet(Oord et al., 2016) or  WaveGlow(Prenger et al., 2019) to generate waveforms(Wang et al., 2017; Shen et  al., 2018; Vaswani et al., 2017). These models automatically learn phonetic and  prosodic features, yielding significantly more natural speech, but have limitations in  inference speed and attention errors. FastSpeech and FastSpeech 2 addressed these  issues by removing attention during inference and using duration, pitch, and energy  predictors, achieving faster and more stable synthesis with explicit prosody control (Ren et al., 2019,2020; Vaswani et al., 2017). The latest leap, VITS, integrates a  variational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autoencoder(Kingma&amp;Welling, 2014) with a generative adversarial  network(Goodfellow et al., 2014) to directly generate waveforms from text in a  single end‑to‑end framework, eliminating a separate vocoder and further boosting  quality and efficiency(Kim et al., 2021; Casanova et al., 2022). Voice cloning and  multi‑speaker synthesis have also advanced, using speaker embeddings and style  tokens to enable personalization and zero‑shot adaptation(Jia et al., 2018; Casanova  et al., 2022; Chen et al., 2022; Wang et al., 2018). Additionally, transfer and  self‑supervised learning methods(Baevski et al., 2020; Hsu et al., 2021; Radford et  al., 2022) mitigate data scarcity for Vietnamese by pretraining on large multilingual  corpora. A modern TTS pipeline typically includes data collection and preprocessing,  text normalization (Do, 2026), model training, and waveform generation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The proposed system implements an emotional TTS pipeline: input text containing  emotion tags is segmented by emotion, each segment is synthesized via viXTTS, and  the resulting waveforms are concatenated with silence gaps to produce the final audio  file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 xml:space="preserve"> Workflow of the Proposed Emotion-Based Speech Synthesis System</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the first layer, text is scanned line by line. When a line contains an emotion tag in  parentheses, the system maps it to an emotion label using a Vietnamese keyword  dictionary. Consecutive lines sharing the same emotion are grouped into a chunk of (text, emotion). Before synthesis, the text is cleaned by removing tag content,  normalizing spaces, and standardizing Vietnamese orthography. In the second layer,  each chunk is passed to the viXTTS inference engine together with speaker  characteristics extracted from a reference audio file. An emotion map assigns 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To maintain consistent speaker identity, latent speaker embeddings  are extracted once from a user‑provided voice sample and reused across all chunks (Jia et al., 2018; Casanova et al., 2022). The synthesis produces a waveform for each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EMOTION_MAP = { cheerful→cheerful_ref.wav, excited→excited_ref.wav,     calm→calm_ref.wav, sad→calm_ref.wav, neutral→base_voice.wav }   ALGORITHM EmotionalTTS(text, ref_audio, output.wav): </w:t>
              <w:br/>
              <w:t xml:space="preserve"> chunks ←split_by_emotion(text) </w:t>
              <w:br/>
              <w:t xml:space="preserve"> IF chunks is empty: ERROR </w:t>
              <w:br/>
              <w:t xml:space="preserve"> (latent, embed) ←get_speaker_latents(ref_audio) </w:t>
              <w:br/>
              <w:t xml:space="preserve"> waveforms ←[] </w:t>
              <w:br/>
              <w:t xml:space="preserve"> FOR EACH (t, e) IN chunks: </w:t>
              <w:br/>
              <w:t xml:space="preserve">  w ←viXTTS.inference(t, latent, embed) </w:t>
              <w:br/>
              <w:t xml:space="preserve">  waveforms.append(w) </w:t>
              <w:br/>
              <w:t xml:space="preserve"> output ←concatenate waveforms with 300 ms silence between </w:t>
              <w:br/>
              <w:t xml:space="preserve">  SAVE output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FUNCTION split_by_emotion(text): </w:t>
              <w:br/>
              <w:t xml:space="preserve"> iterate each line; if line contains '(' →close current chunk,   detect_emotion(line), start new chunk </w:t>
              <w:br/>
              <w:t xml:space="preserve"> else →append to current chunk </w:t>
              <w:br/>
              <w:t xml:space="preserve"> each chunk: clean_text (remove tags, normalize Vietnamese)    return chunks</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Author and S. Author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chunk, as formalized in the following algorithm</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In the third layer, the generated waveforms are concatenated sequentially with  300 ms of silence inserted to separate emotional turns and avoid abrupt cuts. The final  output is saved as a WAV file. This design effectively combines keyword‑based  emotion classification with conditional TTS and audio post‑processing, enabling  tag‑driven, expressive speech synthesis using a unified voice identity.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Evaluation Metrics</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To comprehensively assess the text‑to‑speech and voice cloning system, two  complementary deep‑learning‑based metrics are employed: speaker similarity via  Resemblyzer, and perceived speech quality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Resemblyzer is a neural network‑based tool for speaker verification and voice  similarity measurement(Mishra et al., 2023). At its core, it employs a speaker  verification encoder trained with a generalized end‑to‑end loss (Wan et al., 2018). The  operational principle is as follows: first, an input utterance—either the original  reference voice or the synthesized cloned voice—is processed by a deep neural  network that extracts a fixed‑dimensional embedding vector(often referred to as a  d‑vector or speaker embedding). This vector is designed to capture the unique vocal  identity of the speaker, including characteristics such as timbre, pitch contour, and  speaking style, while being largely invariant to the linguistic content or the specific  words spoken. In other words, regardless of what the person says, the embedding  should remain consistent for the same speaker and distinctly different for different  speakers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Once the embedding vectors are obtained for both the reference audio A(the  original speaker’s voice) and the synthesized audio B(the cloned voice), their  similarity is quantified using the cosine similarity metric: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 xml:space="preserve">osineSimilarity  A,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 </w:t>
      </w:r>
      <w:r>
        <w:rPr>
          <w:color w:val="000000"/>
          <w:u w:val="none"/>
        </w:rPr>
        <w:t xml:space="preserve"> </w:t>
      </w:r>
      <w:r>
        <w:rPr>
          <w:rFonts w:ascii="CambriaMath" w:hAnsi="CambriaMath" w:eastAsia="CambriaMath"/>
          <w:b w:val="0"/>
          <w:i w:val="0"/>
          <w:color w:val="000000"/>
          <w:sz w:val="20"/>
          <w:u w:val="none"/>
        </w:rPr>
        <w:t xml:space="preserve">A ⋅B   </w:t>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 xml:space="preserve"> </w:t>
      </w:r>
      <w:r>
        <w:rPr>
          <w:color w:val="000000"/>
          <w:u w:val="none"/>
        </w:rPr>
        <w:t xml:space="preserve"> </w:t>
      </w:r>
      <w:r>
        <w:rPr>
          <w:color w:val="000000"/>
          <w:u w:val="none"/>
        </w:rPr>
        <w:t xml:space="preserve"> </w:t>
      </w:r>
      <w:r>
        <w:rPr>
          <w:rFonts w:ascii="CambriaMath" w:hAnsi="CambriaMath" w:eastAsia="CambriaMath"/>
          <w:b w:val="0"/>
          <w:i w:val="0"/>
          <w:color w:val="000000"/>
          <w:sz w:val="20"/>
          <w:u w:val="none"/>
        </w:rPr>
        <w:t xml:space="preserve">=   </w:t>
      </w:r>
      <w:r>
        <w:rPr>
          <w:rFonts w:ascii="CambriaMath" w:hAnsi="CambriaMath" w:eastAsia="CambriaMath"/>
          <w:b w:val="0"/>
          <w:i w:val="0"/>
          <w:color w:val="000000"/>
          <w:sz w:val="14"/>
          <w:u w:val="none"/>
        </w:rPr>
        <w:t xml:space="preserve">σ  i=1  </w:t>
      </w:r>
      <w:r>
        <w:rPr>
          <w:rFonts w:ascii="CambriaMath" w:hAnsi="CambriaMath" w:eastAsia="CambriaMath"/>
          <w:b w:val="0"/>
          <w:i w:val="0"/>
          <w:color w:val="000000"/>
          <w:sz w:val="20"/>
          <w:u w:val="none"/>
        </w:rPr>
        <w:t xml:space="preserve"> A </w:t>
      </w:r>
      <w:r>
        <w:rPr>
          <w:rFonts w:ascii="CambriaMath" w:hAnsi="CambriaMath" w:eastAsia="CambriaMath"/>
          <w:b w:val="0"/>
          <w:i w:val="0"/>
          <w:color w:val="000000"/>
          <w:sz w:val="14"/>
          <w:u w:val="none"/>
        </w:rPr>
        <w:t xml:space="preserve"> i </w:t>
      </w:r>
      <w:r>
        <w:rPr>
          <w:rFonts w:ascii="CambriaMath" w:hAnsi="CambriaMath" w:eastAsia="CambriaMath"/>
          <w:b w:val="0"/>
          <w:i w:val="0"/>
          <w:color w:val="000000"/>
          <w:sz w:val="20"/>
          <w:u w:val="none"/>
        </w:rPr>
        <w:t xml:space="preserve"> B  </w:t>
      </w:r>
      <w:r>
        <w:rPr>
          <w:rFonts w:ascii="CambriaMath" w:hAnsi="CambriaMath" w:eastAsia="CambriaMath"/>
          <w:b w:val="0"/>
          <w:i w:val="0"/>
          <w:color w:val="000000"/>
          <w:sz w:val="14"/>
          <w:u w:val="none"/>
        </w:rPr>
        <w:t>i</w:t>
      </w:r>
    </w:p>
    <w:p>
      <w:pPr>
        <w:autoSpaceDN w:val="0"/>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A  B σ  </w:t>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 xml:space="preserve"> d</w:t>
      </w:r>
      <w:r>
        <w:rPr>
          <w:color w:val="000000"/>
          <w:u w:val="none"/>
        </w:rPr>
      </w:r>
    </w:p>
    <w:p>
      <w:pPr>
        <w:autoSpaceDN w:val="0"/>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i   2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 xml:space="preserve">σ    </w:t>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i 2</w:t>
      </w:r>
      <w:r>
        <w:rPr>
          <w:color w:val="000000"/>
          <w:u w:val="none"/>
        </w:rPr>
      </w:r>
      <w:r>
        <w:rPr>
          <w:color w:val="000000"/>
          <w:u w:val="none"/>
        </w:rPr>
      </w:r>
      <w:r>
        <w:rPr>
          <w:rFonts w:ascii="CambriaMath" w:hAnsi="CambriaMath" w:eastAsia="CambriaMath"/>
          <w:b w:val="0"/>
          <w:i w:val="0"/>
          <w:color w:val="000000"/>
          <w:sz w:val="14"/>
          <w:u w:val="none"/>
        </w:rPr>
      </w:r>
    </w:p>
    <w:p>
      <w:pPr>
        <w:autoSpaceDN w:val="0"/>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The  cosine  similarity  measures  the  angle  between  the  two  vectors  in  the   high‑dimensional embedding space. A value close to 1 indicates that the vectors point   in  nearly  the  same  direction,  meaning  the  two  voices  are  perceived  as  highly  similar   or  almost  identical  in  terms  of  speaker  identity(Jia  et  al.,  2018;  Wan  et  al.,  2018).   Conversely,  a  value  close  to  0  or  negative  would  suggest  dissimilar  speakers.  Thus,   Resemblyzer provides an objective, automatic, and reproducible metric for evaluating   how  faithfully  a  voice  cloning  system  preserves  the  original  speaker’s  vocal   characteristics.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DNSMOS(Deep Noise Suppression Mean Opinion Score) is a non-intrusive, deep  learning–based metric designed to estimate the perceptual quality of speech signals  without requiring a clean reference audio signal(Reddy et al., 2021). This makes 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Author and S. Author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Experiments and Results</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left"/>
      </w:pPr>
      <w:r>
        <w:rPr>
          <w:rFonts w:ascii="TimesNewRomanPS" w:hAnsi="TimesNewRomanPS" w:eastAsia="TimesNewRomanPS"/>
          <w:b/>
          <w:i w:val="0"/>
          <w:color w:val="000000"/>
          <w:sz w:val="20"/>
          <w:u w:val="none"/>
        </w:rPr>
        <w:t xml:space="preserve">Training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Dataset. The system was trained and evaluated using the viVoice corpus (Le, 2024), the first publicly available large‑scale Vietnamese speech dataset designed  for multi‑speaker text‑to‑speech. viVoice comprises over 1,000 hours of cleaned  audio and accompanying transcriptions sourced from 186 YouTube channels. All  audio samples are provided at a 24 kHz sampling rate in WAV format, with  background music and noise removed to ensure clean training data. The dataset  covers a wide variety of speakers, accents (Northern, Central, Southern), and speaking  styles, making it particularly suitable for training robust multi‑speaker Vietnamese  TTS models such as XTTS‑v2. viVoice is released under the CC BY‑NC‑SA 4.0  license.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preprocessing pipeline was designed to eliminate variability that could degrade  speaker similarity. Steps included:(i) manual verification of transcript accuracy to  ensure perfect alignment;(ii) text normalization using VietNormalizer(Do, 2026) to  expand abbreviations, convert numbers to words, and standardize punctuation;(iii)  phonetic alignment with a forced aligner trained on Vietnamese, yielding frame‑level  phoneme boundaries;(iv) energy‑based silence stripping at the beginning and end of  utterances to remove leading/trailing silence; and(v) loudness normalization to−23 LUFS to maintain consistent perceived volume across speakers. Crucially, for  each speaker a high‑quality speaker embedding was extracted using the Resemblyzer  encoder and stored as a reference vector. Conditioning the generative model on these  embeddings during training encourages the decoder to preserve speaker identity,  which directly contributed to the high cosine similarity scores (0.90+) observed in the  experiments.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left"/>
      </w:pPr>
      <w:r>
        <w:rPr>
          <w:rFonts w:ascii="TimesNewRomanPS" w:hAnsi="TimesNewRomanPS" w:eastAsia="TimesNewRomanPS"/>
          <w:b/>
          <w:i w:val="0"/>
          <w:color w:val="000000"/>
          <w:sz w:val="20"/>
          <w:u w:val="none"/>
        </w:rPr>
        <w:t xml:space="preserve">Experimental Setup.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The evaluation was conducted on a GIGABYTE G5 GD  laptop, a gaming‑oriented notebook whose specifications are listed in Table 1.  Notably, the system features a dedicated NVIDIA GeForce RTX GPU(Ampere  architecture, discrete) alongside an integrated Intel UHD Graphics adapter. However,  the PyTorch environment used for inference was a CPU‑only build, meaning all  synthesis operations ran on the Intel Core i5‑11400H CPU without GPU acceleration.  This configuration reflects a common deployment scenario where CUDA drivers or  libraries are not installed, or where the system prioritizes compatibility over  maximum speed.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Table 1. System configuration of the test platform.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CPU </w:t>
              <w:br/>
              <w:t xml:space="preserve">RAM </w:t>
              <w:br/>
              <w:t xml:space="preserve">GPU </w:t>
              <w:br/>
              <w:t>Discrete GPU  OS</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cores, 12  threads, 2.70 GHz base) </w:t>
              <w:br/>
              <w:t xml:space="preserve">16 GB DDR4 (15.8 GB usable) </w:t>
              <w:br/>
              <w:t xml:space="preserve">Intel UHD Graphics (integrated) </w:t>
              <w:br/>
              <w:t xml:space="preserve">NVIDIA GeForce RTX (Ampere,  dedicated) </w:t>
              <w:br/>
              <w:t>Windows 11 Home Single Language</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(Build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1054" w:right="1054" w:firstLine="228"/>
        <w:jc w:val="left"/>
      </w:pPr>
      <w:r>
        <w:rPr>
          <w:rFonts w:ascii="TimesNewRomanPS" w:hAnsi="TimesNewRomanPS" w:eastAsia="TimesNewRomanPS"/>
          <w:b/>
          <w:i w:val="0"/>
          <w:color w:val="000000"/>
          <w:sz w:val="20"/>
          <w:u w:val="none"/>
        </w:rPr>
        <w:t xml:space="preserve">Voice Similarity and Speech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Quality. The system was evaluated by comparing  original and synthesized(cloned) speech samples from four speakers. Each sample  pair consisted of a reference.wav file and its clone. Two assessment methods were  applied: Resemblyzer for voice similarity (Wan et al., 2018; Mishra et al., 2023), and  DNSMOS for perceived audio quality(Reddy et al., 2021). Voice similarity results  are presented in Table 2. All pairs achieve a cosine similarity of approximately 0.90 (ranging from 0.9013 to 0.9346), confirming that the VITS model, despite running on  the CPU, preserves vocal timbre and speaker identity remarkably well(Jia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left"/>
      </w:pPr>
      <w:r>
        <w:rPr>
          <w:rFonts w:ascii="TimesNewRomanPSMT" w:hAnsi="TimesNewRomanPSMT" w:eastAsia="TimesNewRomanPSMT"/>
          <w:b w:val="0"/>
          <w:i w:val="0"/>
          <w:color w:val="000000"/>
          <w:sz w:val="20"/>
          <w:u w:val="none"/>
        </w:rPr>
        <w:t>Voice similarity results for the viXTTS model are presented in Table 2. All pairs  achieve a cosine similarity of approximately 0.90(ranging from 0.9013 to 0.9346),  confirming that the model preserves vocal timbre and speaker identity remarkably  well(Jia et al., 2018). Speaker similarity for other engines was not measured in this  evaluation run, as most of them do not natively support voice cloning or require a  separate reference embedding extraction step.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Table 2. Voice similarity between original and cloned speech.</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và giong_clone  Danh_1 và Danh_clone </w:t>
              <w:br/>
              <w:t>Khang1 và Khang_clone  Ngoc1 và Ngoc_clone</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r>
            <w:r>
              <w:rPr>
                <w:color w:val="000000"/>
                <w:u w:val="none"/>
              </w:rPr>
              <w:br/>
            </w:r>
            <w:r>
              <w:rPr>
                <w:rFonts w:ascii="TimesNewRomanPSMT" w:hAnsi="TimesNewRomanPSMT" w:eastAsia="TimesNewRomanPSMT"/>
                <w:b w:val="0"/>
                <w:i w:val="0"/>
                <w:color w:val="000000"/>
                <w:sz w:val="18"/>
                <w:u w:val="none"/>
              </w:rPr>
              <w:t xml:space="preserve">0.9019 </w:t>
            </w:r>
            <w:r>
              <w:rPr>
                <w:color w:val="000000"/>
                <w:u w:val="none"/>
              </w:rPr>
              <w:br/>
            </w:r>
            <w:r>
              <w:rPr>
                <w:rFonts w:ascii="TimesNewRomanPSMT" w:hAnsi="TimesNewRomanPSMT" w:eastAsia="TimesNewRomanPSMT"/>
                <w:b w:val="0"/>
                <w:i w:val="0"/>
                <w:color w:val="000000"/>
                <w:sz w:val="18"/>
                <w:u w:val="none"/>
              </w:rPr>
              <w:t xml:space="preserve">0.9346 </w:t>
            </w:r>
            <w:r>
              <w:rPr>
                <w:color w:val="000000"/>
                <w:u w:val="none"/>
              </w:rPr>
              <w:br/>
            </w:r>
            <w:r>
              <w:rPr>
                <w:rFonts w:ascii="TimesNewRomanPSMT" w:hAnsi="TimesNewRomanPSMT" w:eastAsia="TimesNewRomanPSMT"/>
                <w:b w:val="0"/>
                <w:i w:val="0"/>
                <w:color w:val="000000"/>
                <w:sz w:val="18"/>
                <w:u w:val="none"/>
              </w:rPr>
              <w:t>0.9013</w:t>
            </w:r>
          </w:p>
        </w:tc>
      </w:tr>
    </w:tbl>
    <w:p>
      <w:pPr>
        <w:autoSpaceDN w:val="0"/>
        <w:autoSpaceDE w:val="0"/>
        <w:widowControl/>
        <w:spacing w:line="240" w:lineRule="exact" w:before="274" w:after="0"/>
        <w:ind w:left="1054" w:right="1054" w:firstLine="228"/>
        <w:jc w:val="left"/>
      </w:pPr>
      <w:r>
        <w:rPr>
          <w:rFonts w:ascii="TimesNewRomanPSMT" w:hAnsi="TimesNewRomanPSMT" w:eastAsia="TimesNewRomanPSMT"/>
          <w:b w:val="0"/>
          <w:i w:val="0"/>
          <w:color w:val="000000"/>
          <w:sz w:val="20"/>
          <w:u w:val="none"/>
        </w:rPr>
        <w:t>Speech quality results from DNSMOS across all seven evaluated engines are  summarized in Table 3. Four metrics were recorded: OVRL(overall quality), SIG (speech quality), BAK (background noise intrusiveness), and the supplementary P808  score (an overall listening quality estimator aligned with ITU‑T P.808). Scores are on  the standard 1–5 Mean Opinion Score scale, where higher values indicate better  perceptual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Table 3. DNSMOS evaluation of synthesized Vietnamese speech quality..</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Proposed viXTTS-based</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Piper_Vietnamese_TTS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Vietnamese</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VietnameseTTS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VietnameseTTS.wav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Valtec_Vietnamese.wav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The DNSMOS evaluation results show noticeable differences in synthesized  Vietnamese speech quality among the evaluated TTS systems. Overall, the proposed  viXTTS-based voice cloning system, represented by giong_clone.wav, achieves the  highest OVRL MOS score of 3.38 and the highest SIG MOS score of 3.60. These  results indicate that the proposed system produces speech with strong overall  perceptual quality and clear speech signals. The high BAK MOS score of 4.14 also  suggests that the generated audio contains very little background noise. Therefore, the  viXTTS-based model demonstrates strong performance in both speech clarity and  noise suppression.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Among   the   compared   systems,  Valtec_Vietnamese.wav  also  performs   competitively,  with  an  OVRL  MOS  of  3.37  and  a  SIG  MOS  of  3.58,  which  are  very   close  to  the  proposed  system.  In  addition,  this  model  obtains  the  highest  P808  MOS   score  of  4.21,  suggesting  that  listeners  may  perceive  its  overall  audio  quality   favorably. However,  the  proposed giong_clone.wav  still  slightly outperforms  it in  the   two  main  DNSMOS  indicators,  OVRL  and  SIG.  This  suggests  that  the  proposed   model  has  a  small  but  measurable  advantage  in  terms  of  overall  speech  quality  and   signal clarity.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VietNeu_TTS.wav model also achieves strong results, with an OVRL MOS of  3.31, SIG MOS of 3.54, BAK MOS of 4.16, and P808 MOS of 3.68. These scores  place it in the high-performing group, especially in terms of background noise  suppression. Its BAK score is among the highest in the comparison, showing that the  generated audio is clean and stable. Although its overall and signal quality scores are  slightly lower than those of giong_clone.wav and Valtec_Vietnamese.wav, it remains  a reliable model for Vietnamese speech synthesis.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middle-performing   group  includes  Valtec  Vietnamese  TTS_ver2.wav,   VietTTS.wav,  and  Piper_Vietnamese_TTS.  These  models  obtain  OVRL  MOS  scores   ranging  from  3.00  to  3.07,  indicating  acceptable  but  not  outstanding  synthesized   speech  quality.  Their  SIG  MOS  scores,  ranging  from  3.25  to  3.40,  suggest  that  the   speech  signal  is  reasonably  clear  but  still  less  natural  or  less  detailed  than  the  top-performing systems. Notably, VietTTS.wav achieves a high BAK MOS score of 4.15,   showing  that  its  audio  output  is  relatively  clean.  However,  its  lower  OVRL  and  SIG   scores  indicate  that  background  cleanliness  alone  is  not  sufficient  to  ensure  high   overall speech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lowest-performing system is VietnameseTTS.wav, which obtains an OVRL  MOS of 2.07, SIG MOS of 2.75, BAK MOS of 2.86, and P808 MOS of 2.73. These  scores are substantially lower than those of the other models. In particular, the low  OVRL and SIG scores suggest that the synthesized speech may contain noticeable  artifacts, reduced naturalness, or unclear pronunciation. The low BAK score also  indicates that the audio may include more background interference or noise compared  with the other systems.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A general trend can be observed across the stronger models: most systems achieve  high BAK MOS scores above 4.0, which means that modern Vietnamese TTS models  are generally effective at producing clean audio with limited background noise.  However, differences in OVRL and SIG scores show that clean audio does not always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guarantee natural and intelligible speech. Speech naturalness, clarity, and signal  quality remain important factors in distinguishing the best-performing models.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In summary, the proposed viXTTS-based voice cloning model giong_clone.wav  achieves the best overall performance in terms of OVRL and SIG MOS, making it the  strongest system in this comparison. Valtec_Vietnamese.wav and VietNeu_TTS.wav  also demonstrate competitive performance and can be considered strong alternatives.  Meanwhile, VietnameseTTS.wav shows the weakest results and may require further  optimization to improve speech naturalness, clarity, and background noise control.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 xml:space="preserve">Real‑Time Performance and Latency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 xml:space="preserve">Analysis: The most critical performance metric of the current prototype is the end‑to‑end synthesis latency. For a typical input text of 750 characters (equivalent to approximately 50 seconds of generated audio at a standard Vietnamese speaking rate of about 900 characters per minute), the system requires roughly 2 minutes and 50 seconds(170 seconds) to produce the final WAV file. This yields a Real‑Time Factor(RTF) of approximately 3.4, well above the real‑time threshold of 1.0. The latency is not fixed, however; it varies measurably depending on the linguistic complexity of the input text. Two factors dominate the additional processing overhead: Emotion tags.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Each emotional boundary forces a new synthesis chunk with a separate viXTTS inference call, leading to multiple context switch and model loading overheads. More tags increase the number of chunks and the cumulative pause insertion time.</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 xml:space="preserve"> </w:t>
      </w:r>
      <w:r>
        <w:rPr>
          <w:rFonts w:ascii="TimesNewRomanPSMT" w:hAnsi="TimesNewRomanPSMT" w:eastAsia="TimesNewRomanPSMT"/>
          <w:b w:val="0"/>
          <w:i w:val="0"/>
          <w:color w:val="000000"/>
          <w:sz w:val="20"/>
          <w:u w:val="none"/>
        </w:rPr>
        <w:t> English words and non Vietnamese segments. These require extra  grapheme to phoneme steps within the text normalization layer (Do,  2026), and may introduce attention errors that force the decoder to retry  alignment, adding to the total runtime.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observed latency stems from running the full VITS pipeline on the CPU without  utilizing the available RTX GPU. The CPU‑only PyTorch build cannot exploit the  massive parallelism of the GPU’s tensor cores, leaving matrix multiplications and  convolutions to be computed sequentially. Despite this, the system remains acceptable  for near‑line content creation tasks such as podcast dubbing, educational narration, or  voicemail generation—applications where a few minutes of rendering time are  tolerated in exchange for high‑quality, emotionally expressive output.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Critically, the machine is equipped with an NVIDIA GeForce RTX GPU, which is fully capable of accelerating the inference. Moving to a CUDA‑enabled PyTorch installation would reduce the RTF to well below 0.1 (based on typical GPU benchmarks for VITS), enabling real‑time streaming synthesis. In addition, model quantization to FP16 or INT8, and switching to optimized inference engines like ONNX Runtime with OpenVINO, could further halve latency while preserving the high similarity and MOS scores.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Conclusion</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left"/>
      </w:pPr>
      <w:r>
        <w:rPr>
          <w:rFonts w:ascii="TimesNewRomanPSMT" w:hAnsi="TimesNewRomanPSMT" w:eastAsia="TimesNewRomanPSMT"/>
          <w:b w:val="0"/>
          <w:i w:val="0"/>
          <w:color w:val="000000"/>
          <w:sz w:val="20"/>
          <w:u w:val="none"/>
        </w:rPr>
        <w:t>In this research, a Vietnamese text‑to‑speech system based on artificial intelligence  and deep learning was thoroughly designed, implemented, and evaluated. The system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exploits modern models such as Tacotron, FastSpeech, and VITS to automatically  convert text into natural speech signals, learning the unique phonetic and prosodic  features of Vietnamese. Experimental outcomes show that the proposed model  generates clear, natural speech with appropriate intonation and maintains stable  performance across various conditions and contexts.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achieved  results  not  only  validate  the  effectiveness  of  deep  learning  in   Vietnamese  speech  synthesis  but  also  highlight  the  system’s  broad  applicability  in   practice,  notably  in  virtual  assistants,  education,  automatic  call  centers,  and  assistive   tools  for  the  visually  impaired.  Future  work  may  focus  on  expanding  and  enriching   the   speech   dataset,  improving  regional  naturalness,  optimizing  models  for   resource‑constrained  devices,  and  integrating  the  system  into  real‑world  platforms  to   enhance feasibility and usability.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References</w:t>
      </w:r>
    </w:p>
    <w:p>
      <w:pPr>
        <w:autoSpaceDN w:val="0"/>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YourTTS:  Towards  zero-shot  multi-speaker  TTS  and  zero-shot  voice  conversion  for  everyone. arXiv. https://arxiv.org/abs/2112.02418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https://arxiv.org/abs/1406.2661 </w:t>
        <w:br/>
        <w:t xml:space="preserve">8.  Hsu,  W.  N.,  Bolte,  B.,  Tsai,  Y.  H.  H.,  Lakhotia,  K.,  Salakhutdinov,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(2021). HuBERT:  Self-supervised  speech  representation  learning  by  masked  prediction  of  hidden units. arXiv. https://arxiv.org/abs/2104.05136 </w:t>
        <w:br/>
        <w:t xml:space="preserve">9.  Ito,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K.,&amp;Johnson,  L.(2017).  The  LJ  Speech  Dataset.  https://keithito.com/LJ-Speech- Dataset/ </w:t>
        <w:br/>
        <w:t xml:space="preserve">10.  Jia,  Y., Zhang, Y.,  Weiss, R.  J., Wang,  Q., Shen,  J.,  Ren, X., Chen, Z., Nguyen,  P., Pang,  R.,  Moreno,  I.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L.,&amp;Wu,  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13</w:t>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Robust  speech  recognition  via  large-scale  weak  supervision.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https://arxiv.org/abs/2010.15258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Natural TTS synthesis by conditioning WaveNet on mel spectrogram predictions.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Author and S. Author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Polosukhin, I. (2017). Attention is all you need. arXiv. https://arxiv.org/abs/1706.03762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https://arxiv.org/abs/2506.01322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speaker verification. In 2018 IEEE International Conference on Acoustics, Speech and</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Signal  Processing  (ICASSP)  (pp.  4879–4883).  IEEE.</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Y., Chen, Z., Bengio, S., Le, Q., Agiomyrgiannakis, Y., Clark,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R.,&amp;Saurous, R.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Towards  end-to-end  speech  synthesis.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F.,&amp;Saurous, R. A.(2018). Style tokens: Unsupervised style modeling,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control  and  transfer  in  end-to-end  speech  synthesis.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speaker corpus for CSTR voice cloning toolkit(Version 0.92). University of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A  corpus  derived  from  LibriSpeech  for  text-to-speech.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left"/>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speech. Hugging Face. https://huggingface.co/datasets/capleaf/viVoice</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