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 xml:space="preserve">Full name: Ha Hoang Phuc Student: 222683 Class: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  <w:r>
        <w:rPr>
          <w:color w:val="000000"/>
          <w:u w:val="none"/>
        </w:rPr>
      </w:r>
      <w:r>
        <w:rPr>
          <w:rFonts w:ascii="TimesNewRomanPS" w:hAnsi="TimesNewRomanPS" w:eastAsia="TimesNewRomanPS"/>
          <w:b/>
          <w:i w:val="0"/>
          <w:color w:val="000000"/>
          <w:sz w:val="30"/>
          <w:u w:val="none"/>
        </w:rPr>
        <w:t xml:space="preserve">DH22TIN07 LESSON 1: Library management </w:t>
      </w:r>
      <w:r>
        <w:rPr>
          <w:color w:val="000000"/>
          <w:u w:val="none"/>
        </w:rPr>
      </w:r>
      <w:r>
        <w:rPr>
          <w:rFonts w:ascii="TimesNewRomanPS" w:hAnsi="TimesNewRomanPS" w:eastAsia="TimesNewRomanPS"/>
          <w:b/>
          <w:i w:val="0"/>
          <w:color w:val="000000"/>
          <w:sz w:val="30"/>
          <w:u w:val="none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system - Identify candidate classes (Books, Readers, Loans, Employees, Publishers) + Books: main entity, book information management.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+ DocGia: person who borrows books.</w:t>
      </w:r>
    </w:p>
    <w:p>
      <w:pPr>
        <w:autoSpaceDN w:val="0"/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+ PhieuMuon: records borrowing/returning.</w:t>
      </w:r>
    </w:p>
    <w:p>
      <w:pPr>
        <w:autoSpaceDN w:val="0"/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+ NhanVien: system manager (librarian, warehouse keeper...).</w:t>
      </w:r>
    </w:p>
    <w:p>
      <w:pPr>
        <w:autoSpaceDN w:val="0"/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+ NhaXuatBan: book source information.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- Properties and behavior (methods) of each class + Book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Attributes: maSach (PK, string), nameSach (string), tacGia (string), namXuatBan (int), maNXB (FK), soLuongTon (int), thai page (string: "Available"/"On loan").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Behavior: addSach(), capNhatSach(), deleteSach(), saveSach(), capNhatTonKho().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Attributes: maDocGia (PK, string), hoTen (string), daySinh (date), diaChi (string), soDienThoai (string), dayDangKy (date), gioiTinh (boolean).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1600" w:right="1600"/>
        <w:jc w:val="both"/>
      </w:pPr>
      <w:r>
        <w:rPr>
          <w:color w:val="000000"/>
          <w:u w:val="none"/>
        </w:rPr>
      </w:r>
      <w:r>
        <w:rPr>
          <w:rFonts w:ascii="CourierNewPSMT" w:hAnsi="CourierNewPSMT" w:eastAsia="CourierNewPSMT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Behavior: dangKyThe(), capNhatThongTin(), viewLichSuMuon(). + PhieuMuon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Attributes: maPhieu (PK, string), maDocGia (FK), maSach (FK), maNhanVien (FK), nhaMuon (date), ngoHenTra (date), ngoTraThucTe (date), tinhTrang (string: "On loan"/"Paid"/"Overdue").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1600" w:right="1600"/>
        <w:jc w:val="both"/>
      </w:pPr>
      <w:r>
        <w:rPr>
          <w:color w:val="000000"/>
          <w:u w:val="none"/>
        </w:rPr>
      </w:r>
      <w:r>
        <w:rPr>
          <w:rFonts w:ascii="CourierNewPSMT" w:hAnsi="CourierNewPSMT" w:eastAsia="CourierNewPSMT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Behavior: createPhieuMuon(), searchSach(), saveTraQuaHan(), crystalPhieuPhat(). + NhanVien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Attributes: maNhanVien (PK, string), hoTen (string), chucVu (string), date of birth (date), soDienThoai (string).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Behavior: dangNhap (), quanLyDocGia (), quanLyMuonTra (), quanLySach ().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Attributes: maNXB (PK, string), nameNXB (string), diaChi (string), email (string).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Behavior: addNXB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 xml:space="preserve">- Relationships: 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Books and Publishers: 1 book – 1 publisher</w:t>
      </w:r>
    </w:p>
    <w:p>
      <w:pPr>
        <w:sectPr>
          <w:headerReference w:type="default" r:id="rId11"/>
          <w:footerReference w:type="default" r:id="rId12"/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Readers and Borrowing Slips: 1 reader – many borrowing slips</w:t>
      </w:r>
    </w:p>
    <w:p>
      <w:pPr>
        <w:autoSpaceDN w:val="0"/>
        <w:autoSpaceDE w:val="0"/>
        <w:widowControl/>
        <w:spacing w:line="348" w:lineRule="exact" w:before="14" w:after="0"/>
        <w:ind w:left="1600" w:right="160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Books and borrowing slips: 1 book – many borrowing slips</w:t>
      </w:r>
    </w:p>
    <w:p>
      <w:pPr>
        <w:autoSpaceDN w:val="0"/>
        <w:autoSpaceDE w:val="0"/>
        <w:widowControl/>
        <w:spacing w:line="350" w:lineRule="exact" w:before="16" w:after="0"/>
        <w:ind w:left="1600" w:right="160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Employees and Vouchers: 1 employee – many vouchers</w:t>
      </w:r>
    </w:p>
    <w:p>
      <w:pPr>
        <w:autoSpaceDN w:val="0"/>
        <w:autoSpaceDE w:val="0"/>
        <w:widowControl/>
        <w:spacing w:line="416" w:lineRule="exact" w:before="680" w:after="0"/>
        <w:ind w:left="540" w:right="43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0"/>
          <w:u w:val="none"/>
        </w:rPr>
        <w:t>LESSON 2: Online sales management system</w:t>
      </w:r>
    </w:p>
    <w:p>
      <w:pPr>
        <w:autoSpaceDN w:val="0"/>
        <w:autoSpaceDE w:val="0"/>
        <w:widowControl/>
        <w:spacing w:line="350" w:lineRule="exact" w:before="0" w:after="0"/>
        <w:ind w:left="540" w:right="43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- Identify main use cases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Main actors: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+ Customer (Customers / Potential Customers).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+ NguoiQuanLy / Admin (Administrator / Sales staff).</w:t>
      </w:r>
    </w:p>
    <w:p>
      <w:pPr>
        <w:autoSpaceDN w:val="0"/>
        <w:autoSpaceDE w:val="0"/>
        <w:widowControl/>
        <w:spacing w:line="348" w:lineRule="exact" w:before="0" w:after="0"/>
        <w:ind w:left="540" w:right="43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Main use cases (customer registration, ordering, payment, product management):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DangKyTaiKhan (Customer registration).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540" w:right="434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DangNhap (Sign in).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See SanPham (Search / View product list).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ThemVaoGioHang (Add to cart).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434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DatHang (Order).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ThanhToan (Online payment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View DonHang (View order history).</w:t>
      </w:r>
    </w:p>
    <w:p>
      <w:pPr>
        <w:autoSpaceDN w:val="0"/>
        <w:autoSpaceDE w:val="0"/>
        <w:widowControl/>
        <w:spacing w:line="350" w:lineRule="exact" w:before="0" w:after="0"/>
        <w:ind w:left="540" w:right="43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QuanLySanPham (Add/Edit/Delete products).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QuanLyDonHang (View/Confirm/Cancel order).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QuanLyKhachHang (Customer information management).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QuanLyThanhToan (Payment processing, refund if necessary).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ThanhToan includes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DatHang extends ThanhToan (if paying online).</w:t>
      </w:r>
    </w:p>
    <w:p>
      <w:pPr>
        <w:autoSpaceDN w:val="0"/>
        <w:autoSpaceDE w:val="0"/>
        <w:widowControl/>
        <w:spacing w:line="348" w:lineRule="exact" w:before="0" w:after="0"/>
        <w:ind w:left="540" w:right="43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- From use case, find the necessary classes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Customers (Customer): from register, view orders.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SanPham (Product): product management.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GioHang (Cart): temporarily store products before ordering.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 Don Hang (Order): from order, payment.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ChiTietDonHang (OrderDetail): product details in the order.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ThanhToan (Payment): payment processing (may have subclasses such as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Admin or Personnel (inherited from User if there is a user system).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 xml:space="preserve">- Analyze the relationship between 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 xml:space="preserve">classes (specify inheritance if 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 xml:space="preserve">any) Customer and Customer: 1 customer – many </w:t>
      </w:r>
      <w:r>
        <w:rPr>
          <w:color w:val="000000"/>
          <w:u w:val="none"/>
        </w:rPr>
      </w: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 xml:space="preserve">orders (abstract class) ←inherits 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SymbolMT" w:hAnsi="SymbolMT" w:eastAsia="SymbolMT"/>
          <w:b w:val="0"/>
          <w:i w:val="0"/>
          <w:color w:val="000000"/>
          <w:sz w:val="26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 xml:space="preserve">←KhachHang and Admin (KhachHang and 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SymbolMT" w:hAnsi="SymbolMT" w:eastAsia="SymbolMT"/>
          <w:b w:val="0"/>
          <w:i w:val="0"/>
          <w:color w:val="000000"/>
          <w:sz w:val="30"/>
          <w:u w:val="none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Admin are both the same type of User, sharing the same account, password, full name).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autoSpaceDE w:val="0"/>
        <w:widowControl/>
        <w:spacing w:line="416" w:lineRule="exact" w:before="786" w:after="0"/>
        <w:ind w:left="540" w:right="43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0"/>
          <w:u w:val="none"/>
        </w:rPr>
        <w:t>Lesson 3: Convert class diagrams into data tables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1. MonHoc table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atLeast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No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School name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Data Types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Bind</w:t>
            </w:r>
          </w:p>
        </w:tc>
      </w:tr>
      <w:tr>
        <w:trPr>
          <w:trHeight w:hRule="atLeast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 xml:space="preserve">Not </w:t>
            </w:r>
            <w:r>
              <w:rPr>
                <w:color w:val="000000"/>
                <w:u w:val="none"/>
              </w:rP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Unique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  <w:t>2. Science Table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atLeast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No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School name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Data Types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Bind</w:t>
            </w:r>
          </w:p>
        </w:tc>
      </w:tr>
      <w:tr>
        <w:trPr>
          <w:trHeight w:hRule="atLeast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Unique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