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kunsmatige intelligensie, het die vraag na teks-na-spraak (TTS)-stelsels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raak toenemend krities oor domeine soos virtuele assistente,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onderwys, outomatiese oproepsentrums, en toeganklikheid gereedskap vir die visueel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benadeel.  Genereer egter natuurlik, konteksbewus en prosodies</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gepaste spraak bly 'n groot uitdaging, veral vir</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Viëtnamees—'n toontaal met komplekse toonhoogtekontoere en streeks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diversiteit. Hierdie navorsing stel voor en ontwikkel 'n Viëtnamese TTS-stelsel wat gebou is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op moderne diepleermodelle om die beperkings van tradisionele te oorkom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metodes.  Die stelsel maak gebruik van die nuutste argitekture, insluitend</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Tacotron, FastSpeech en VITS, gekombineer met masjienleertegnieke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sintese kwaliteit te verbeter. Konstruksie en evaluering word uitgevoer op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diverse Viëtnamese datastel, wat aanpasbaarheid by verskeie werklike wêreld verseker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kontekste. Resultate toon dat die stelsel natuurlik, duidelik, hoogs bereik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buigsame spraakuitset met breë potensiaal vir ontplooiing in digitale platforms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en intelligente dienste.</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TimesNewRomanPSMT" w:hAnsi="TimesNewRomanPSMT" w:eastAsia="TimesNewRomanPSMT"/>
          <w:b w:val="0"/>
          <w:i w:val="0"/>
          <w:color w:val="000000"/>
          <w:sz w:val="20"/>
          <w:u w:val="none"/>
        </w:rPr>
        <w:t>Gedryf deur digitale transformasie en die vordering van kunsmatige intelligensie, die behoefte om</w:t>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bou teks-na-spraak (TTS)-stelsels word al hoe belangriker op gebiede soos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as virtuele assistente, onderwys, outomatiese oproepsentrums, en ondersteuning vir die visueel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benadeel. Die TTS-probleem strek egter verder as die omskakeling van teks in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oudio; dit vereis dat die gesintetiseerde stem natuurlik moet wees, gepaste intonasie dra,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en pas by die gegewe konteks - 'n besonder moeilike taak vir Viëtnamees, 'n taal met</w:t>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'n komplekse toonstelsel en aansienlike streeksvariasie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Tradisionele konketenatiewe en formant-gebaseerde TTS-metodes (Zen et al., 2019)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Hidden Markov Model (HMM)-gebaseerde sintese (Zen et al., 2019) vertoon beperkings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in buigsaamheid, natuurlikheid en skaalbaarheid. In reaksie, moderne diep leer modelle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soos Tacotron (Wang et al., 2017), Tacotron 2 (Shen et al., 2018), FastSpeech (Ren)</w:t>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left"/>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3</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u w:val="none"/>
        </w:rPr>
        <w:t xml:space="preserve"> </w:t>
      </w:r>
      <w:r>
        <w:rPr>
          <w:rFonts w:ascii="CambriaMath" w:hAnsi="CambriaMath" w:eastAsia="CambriaMath"/>
          <w:b w:val="0"/>
          <w:i w:val="0"/>
          <w:color w:val="000000"/>
          <w:sz w:val="20"/>
          <w:u w:val="none"/>
        </w:rPr>
        <w:t xml:space="preserve">A, B= </w:t>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 xml:space="preserve"> </w:t>
      </w:r>
      <w:r>
        <w:rPr>
          <w:color w:val="000000"/>
          <w:u w:val="none"/>
        </w:rPr>
        <w:t xml:space="preserve"> </w:t>
      </w:r>
      <w:r>
        <w:rPr>
          <w:color w:val="00000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14"/>
          <w:u w:val="none"/>
        </w:rPr>
        <w:t>i</w:t>
      </w:r>
    </w:p>
    <w:p>
      <w:pPr>
        <w:autoSpaceDN w:val="0"/>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A B σ </w:t>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br/>
      </w:r>
      <w:r>
        <w:rPr>
          <w:color w:val="000000"/>
          <w:u w:val="none"/>
        </w:rPr>
      </w:r>
    </w:p>
    <w:p>
      <w:pPr>
        <w:autoSpaceDN w:val="0"/>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A</w:t>
      </w:r>
      <w:r>
        <w:rPr>
          <w:rFonts w:ascii="CambriaMath" w:hAnsi="CambriaMath" w:eastAsia="CambriaMath"/>
          <w:b w:val="0"/>
          <w:i w:val="0"/>
          <w:color w:val="000000"/>
          <w:sz w:val="14"/>
          <w:u w:val="none"/>
        </w:rPr>
        <w:t xml:space="preserve"> i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 xml:space="preserve">2 σ </w:t>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 xml:space="preserve">i </w:t>
        <w:br/>
        <w:t xml:space="preserve"> 2</w:t>
      </w:r>
      <w:r>
        <w:rPr>
          <w:color w:val="000000"/>
          <w:u w:val="none"/>
        </w:rPr>
      </w:r>
      <w:r>
        <w:rPr>
          <w:color w:val="000000"/>
          <w:u w:val="none"/>
        </w:rPr>
      </w:r>
      <w:r>
        <w:rPr>
          <w:rFonts w:ascii="CambriaMath" w:hAnsi="CambriaMath" w:eastAsia="CambriaMath"/>
          <w:b w:val="0"/>
          <w:i w:val="0"/>
          <w:color w:val="000000"/>
          <w:sz w:val="14"/>
          <w:u w:val="none"/>
        </w:rPr>
      </w:r>
    </w:p>
    <w:p>
      <w:pPr>
        <w:autoSpaceDN w:val="0"/>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left"/>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lef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78" w:after="0"/>
        <w:ind w:left="1054" w:right="1054" w:firstLine="228"/>
        <w:jc w:val="left"/>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40" w:lineRule="exact" w:before="274" w:after="0"/>
        <w:ind w:left="1054" w:right="1054" w:firstLine="228"/>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Verwysings</w:t>
      </w:r>
    </w:p>
    <w:p>
      <w:pPr>
        <w:autoSpaceDN w:val="0"/>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13</w:t>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