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Outomatiese teks-na-spraak-stelsel vir Viëtnamees gebruik</w:t>
      </w:r>
    </w:p>
    <w:p>
      <w:pPr>
        <w:autoSpaceDN w:val="0"/>
        <w:autoSpaceDE w:val="0"/>
        <w:widowControl/>
        <w:spacing w:line="388" w:lineRule="exact" w:before="0" w:after="0"/>
        <w:ind w:left="0" w:right="0" w:firstLine="0"/>
        <w:jc w:val="center"/>
      </w:pPr>
      <w:r>
        <w:rPr>
          <w:rFonts w:ascii="TimesNewRomanPS" w:hAnsi="TimesNewRomanPS" w:eastAsia="TimesNewRomanPS"/>
          <w:b/>
          <w:i w:val="0"/>
          <w:color w:val="000000"/>
          <w:sz w:val="28"/>
          <w:u w:val="none"/>
        </w:rPr>
        <w:t>Kunsmatige Intelligensie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u w:val="none"/>
        </w:rPr>
        <w:t xml:space="preserve">Thanh-Danh Vo </w:t>
      </w:r>
      <w:r>
        <w:rPr>
          <w:rFonts w:ascii="TimesNewRomanPSMT" w:hAnsi="TimesNewRomanPSMT" w:eastAsia="TimesNewRomanPSMT"/>
          <w:b w:val="0"/>
          <w:i w:val="0"/>
          <w:color w:val="000000"/>
          <w:sz w:val="13"/>
          <w:u w:val="none"/>
        </w:rPr>
        <w:t>1</w:t>
      </w:r>
      <w:r>
        <w:rPr>
          <w:rFonts w:ascii="TimesNewRomanPSMT" w:hAnsi="TimesNewRomanPSMT" w:eastAsia="TimesNewRomanPSMT"/>
          <w:b w:val="0"/>
          <w:i w:val="0"/>
          <w:color w:val="000000"/>
          <w:sz w:val="20"/>
          <w:u w:val="none"/>
        </w:rPr>
        <w:t xml:space="preserve">, Ngo-Ho </w:t>
      </w:r>
      <w:r>
        <w:rPr>
          <w:rFonts w:ascii="TimesNewRomanPSMT" w:hAnsi="TimesNewRomanPSMT" w:eastAsia="TimesNewRomanPSMT"/>
          <w:b w:val="0"/>
          <w:i w:val="0"/>
          <w:color w:val="000000"/>
          <w:sz w:val="13"/>
          <w:u w:val="none"/>
        </w:rPr>
        <w:t xml:space="preserve">Anh-Khoa </w:t>
      </w:r>
      <w:r>
        <w:rPr>
          <w:rFonts w:ascii="TimesNewRomanPSMT" w:hAnsi="TimesNewRomanPSMT" w:eastAsia="TimesNewRomanPSMT"/>
          <w:b w:val="0"/>
          <w:i w:val="0"/>
          <w:color w:val="000000"/>
          <w:sz w:val="20"/>
          <w:u w:val="none"/>
        </w:rPr>
        <w:t xml:space="preserve">1 en Ngo-Ho Anh-Khoi </w:t>
      </w:r>
      <w:r>
        <w:rPr>
          <w:rFonts w:ascii="TimesNewRomanPSMT" w:hAnsi="TimesNewRomanPSMT" w:eastAsia="TimesNewRomanPSMT"/>
          <w:b w:val="0"/>
          <w:i w:val="0"/>
          <w:color w:val="000000"/>
          <w:sz w:val="13"/>
          <w:u w:val="none"/>
        </w:rPr>
        <w:t>1*</w:t>
      </w:r>
    </w:p>
    <w:p>
      <w:pPr>
        <w:autoSpaceDN w:val="0"/>
        <w:autoSpaceDE w:val="0"/>
        <w:widowControl/>
        <w:spacing w:line="302" w:lineRule="exact" w:before="114" w:after="0"/>
        <w:ind w:left="0" w:right="0" w:firstLine="0"/>
        <w:jc w:val="center"/>
      </w:pPr>
      <w:r>
        <w:rPr>
          <w:color w:val="000000"/>
          <w:w w:val="95.83333333333334"/>
          <w:rFonts w:ascii="TimesNewRomanPSMT" w:hAnsi="TimesNewRomanPSMT" w:eastAsia="TimesNewRomanPSMT"/>
          <w:b w:val="0"/>
          <w:i w:val="0"/>
          <w:sz w:val="12"/>
          <w:u w:val="none"/>
        </w:rPr>
        <w:t xml:space="preserve">1 </w:t>
      </w:r>
      <w:r>
        <w:rPr>
          <w:rFonts w:ascii="TimesNewRomanPSMT" w:hAnsi="TimesNewRomanPSMT" w:eastAsia="TimesNewRomanPSMT"/>
          <w:b w:val="0"/>
          <w:i w:val="0"/>
          <w:color w:val="000000"/>
          <w:sz w:val="18"/>
          <w:u w:val="none"/>
        </w:rPr>
        <w:t>Fakulteit Inligtingstegnologie, Nam Can Tho Universiteit, Nguyen Van Custraat 168, 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Binh Wyk, Can Tho City</w:t>
      </w:r>
      <w:r>
        <w:rPr>
          <w:rFonts w:ascii="TimesNewRomanPSMT" w:hAnsi="TimesNewRomanPSMT" w:eastAsia="TimesNewRomanPSMT"/>
          <w:b w:val="0"/>
          <w:i w:val="0"/>
          <w:color w:val="000000"/>
          <w:sz w:val="18"/>
          <w:u w:val="none"/>
        </w:rPr>
        <w:hyperlink r:id="rId9" w:history="1">
          <w:r>
            <w:rPr>
              <w:rStyle w:val="Hyperlink"/>
            </w:rPr>
            <w:t>, Vietnam</w:t>
          </w:r>
        </w:hyperlink>
      </w:r>
    </w:p>
    <w:p>
      <w:pPr>
        <w:autoSpaceDN w:val="0"/>
        <w:autoSpaceDE w:val="0"/>
        <w:widowControl/>
        <w:spacing w:line="304" w:lineRule="exact" w:before="0" w:after="0"/>
        <w:ind w:left="0" w:right="0" w:firstLine="0"/>
        <w:jc w:val="center"/>
      </w:pPr>
      <w:r>
        <w:rPr>
          <w:rFonts w:ascii="CourierNewPSMT" w:hAnsi="CourierNewPSMT" w:eastAsia="CourierNewPSMT"/>
          <w:b w:val="0"/>
          <w:i w:val="0"/>
          <w:color w:val="000000"/>
          <w:sz w:val="18"/>
          <w:u w:val="none"/>
        </w:rPr>
        <w:t>__HOU_0__, ,</w:t>
      </w:r>
      <w:r>
        <w:rPr>
          <w:rFonts w:ascii="CourierNewPSMT" w:hAnsi="CourierNewPSMT" w:eastAsia="CourierNewPSMT"/>
          <w:b w:val="0"/>
          <w:i w:val="0"/>
          <w:color w:val="000000"/>
          <w:sz w:val="18"/>
          <w:u w:val="none"/>
        </w:rPr>
      </w:r>
      <w:r>
        <w:rPr>
          <w:rFonts w:ascii="CourierNewPSMT" w:hAnsi="CourierNewPSMT" w:eastAsia="CourierNewPSMT"/>
          <w:b w:val="0"/>
          <w:i w:val="0"/>
          <w:color w:val="000000"/>
          <w:sz w:val="18"/>
          <w:u w:val="none"/>
        </w:rPr>
        <w:t>,</w:t>
      </w:r>
    </w:p>
    <w:p>
      <w:pPr>
        <w:autoSpaceDN w:val="0"/>
        <w:autoSpaceDE w:val="0"/>
        <w:widowControl/>
        <w:spacing w:line="306" w:lineRule="exact" w:before="0" w:after="0"/>
        <w:ind w:left="0" w:right="0" w:firstLine="0"/>
        <w:jc w:val="center"/>
      </w:pPr>
      <w:r>
        <w:rPr>
          <w:rFonts w:ascii="CourierNewPSMT" w:hAnsi="CourierNewPSMT" w:eastAsia="CourierNewPSMT"/>
          <w:b w:val="0"/>
          <w:i w:val="0"/>
          <w:color w:val="000000"/>
          <w:sz w:val="18"/>
          <w:u w:val="none"/>
        </w:rPr>
        <w:t>nhakhoi@nctu.ed</w:t>
      </w:r>
      <w:r>
        <w:rPr>
          <w:rFonts w:ascii="CourierNewPSMT" w:hAnsi="CourierNewPSMT" w:eastAsia="CourierNewPSMT"/>
          <w:b w:val="0"/>
          <w:i w:val="0"/>
          <w:color w:val="000000"/>
          <w:sz w:val="18"/>
          <w:u w:val="none"/>
        </w:rPr>
        <w:hyperlink r:id="rId9" w:history="1">
          <w:r>
            <w:rPr>
              <w:rStyle w:val="Hyperlink"/>
            </w:rPr>
            <w:t>u.vn</w:t>
          </w:r>
        </w:hyperlink>
      </w:r>
    </w:p>
    <w:p>
      <w:pPr>
        <w:autoSpaceDN w:val="0"/>
        <w:autoSpaceDE w:val="0"/>
        <w:widowControl/>
        <w:spacing w:line="250" w:lineRule="exact" w:before="522" w:after="0"/>
        <w:ind w:left="0" w:right="0" w:firstLine="0"/>
        <w:jc w:val="center"/>
      </w:pPr>
      <w:r>
        <w:rPr>
          <w:rFonts w:ascii="TimesNewRomanPS" w:hAnsi="TimesNewRomanPS" w:eastAsia="TimesNewRomanPS"/>
          <w:b/>
          <w:i w:val="0"/>
          <w:color w:val="000000"/>
          <w:sz w:val="18"/>
          <w:u w:val="none"/>
        </w:rPr>
        <w:t xml:space="preserve">Abstrak.  </w:t>
      </w:r>
      <w:r>
        <w:rPr>
          <w:rFonts w:ascii="TimesNewRomanPSMT" w:hAnsi="TimesNewRomanPSMT" w:eastAsia="TimesNewRomanPSMT"/>
          <w:b w:val="0"/>
          <w:i w:val="0"/>
          <w:color w:val="000000"/>
          <w:sz w:val="18"/>
          <w:u w:val="none"/>
        </w:rPr>
        <w:t>In die konteks van digitale transformasie en die vinnige vooruitgang van</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kunsmatige intelligensie, het die vraag na teks-na-spraak (TTS)-stelsels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raak toenemend krities oor domeine soos virtuele assistente,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onderwys, outomatiese oproepsentrums, en toeganklikheid gereedskap vir die visueel</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benadeel.  Genereer egter natuurlik, konteksbewus en prosodies</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gepaste spraak bly 'n groot uitdaging, veral vir</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Viëtnamees—'n toontaal met komplekse toonhoogtekontoere en streeks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diversiteit. Hierdie navorsing stel voor en ontwikkel 'n Viëtnamese TTS-stelsel wat gebou is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op moderne diepleermodelle om die beperkings van tradisionele te oorkom</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metodes.  Die stelsel maak gebruik van die nuutste argitekture, insluitend</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Tacotron, FastSpeech en VITS, gekombineer met masjienleertegnieke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sintese kwaliteit te verbeter. Konstruksie en evaluering word uitgevoer op 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diverse Viëtnamese datastel, wat aanpasbaarheid by verskeie werklike wêreld verseker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kontekste. Resultate toon dat die stelsel natuurlik, duidelik, hoogs bereik</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buigsame spraakuitset met breë potensiaal vir ontplooiing in digitale platforms</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en intelligente dienste.</w:t>
      </w:r>
    </w:p>
    <w:p>
      <w:pPr>
        <w:autoSpaceDN w:val="0"/>
        <w:autoSpaceDE w:val="0"/>
        <w:widowControl/>
        <w:spacing w:line="248" w:lineRule="exact" w:before="194" w:after="0"/>
        <w:ind w:left="1620" w:right="0" w:firstLine="0"/>
        <w:jc w:val="left"/>
      </w:pPr>
      <w:r>
        <w:rPr>
          <w:rFonts w:ascii="TimesNewRomanPS" w:hAnsi="TimesNewRomanPS" w:eastAsia="TimesNewRomanPS"/>
          <w:b/>
          <w:i w:val="0"/>
          <w:color w:val="000000"/>
          <w:sz w:val="18"/>
          <w:u w:val="none"/>
        </w:rPr>
        <w:t xml:space="preserve">Sleutelwoorde: </w:t>
      </w:r>
      <w:r>
        <w:rPr>
          <w:rFonts w:ascii="TimesNewRomanPSMT" w:hAnsi="TimesNewRomanPSMT" w:eastAsia="TimesNewRomanPSMT"/>
          <w:b w:val="0"/>
          <w:i w:val="0"/>
          <w:color w:val="000000"/>
          <w:sz w:val="18"/>
          <w:u w:val="none"/>
        </w:rPr>
        <w:t>Teks-na-spraak (TTS), Kunsmatige Intelligensie (KI), Deep Learning,</w:t>
      </w:r>
    </w:p>
    <w:p>
      <w:pPr>
        <w:autoSpaceDN w:val="0"/>
        <w:autoSpaceDE w:val="0"/>
        <w:widowControl/>
        <w:spacing w:line="242" w:lineRule="exact" w:before="0" w:after="0"/>
        <w:ind w:left="1620" w:right="0" w:firstLine="0"/>
        <w:jc w:val="left"/>
      </w:pPr>
      <w:r>
        <w:rPr>
          <w:rFonts w:ascii="TimesNewRomanPSMT" w:hAnsi="TimesNewRomanPSMT" w:eastAsia="TimesNewRomanPSMT"/>
          <w:b w:val="0"/>
          <w:i w:val="0"/>
          <w:color w:val="000000"/>
          <w:sz w:val="18"/>
          <w:u w:val="none"/>
        </w:rPr>
        <w:t>Natuurlike Taalverwerking (NLP), Spraaksintese.</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1 Inleiding</w:t>
      </w:r>
      <w:r>
        <w:rPr>
          <w:rFonts w:ascii="TimesNewRomanPS" w:hAnsi="TimesNewRomanPS" w:eastAsia="TimesNewRomanPS"/>
          <w:b/>
          <w:i w:val="0"/>
          <w:color w:val="000000"/>
          <w:sz w:val="24"/>
          <w:u w:val="none"/>
        </w:rPr>
      </w:r>
    </w:p>
    <w:p>
      <w:pPr>
        <w:autoSpaceDN w:val="0"/>
        <w:autoSpaceDE w:val="0"/>
        <w:widowControl/>
        <w:spacing w:line="266" w:lineRule="exact" w:before="206" w:after="0"/>
        <w:ind w:left="0" w:right="0" w:firstLine="0"/>
        <w:jc w:val="center"/>
      </w:pPr>
      <w:r>
        <w:rPr>
          <w:rFonts w:ascii="TimesNewRomanPSMT" w:hAnsi="TimesNewRomanPSMT" w:eastAsia="TimesNewRomanPSMT"/>
          <w:b w:val="0"/>
          <w:i w:val="0"/>
          <w:color w:val="000000"/>
          <w:sz w:val="20"/>
          <w:u w:val="none"/>
        </w:rPr>
        <w:t>Gedryf deur digitale transformasie en die vordering van kunsmatige intelligensie, die behoefte om</w:t>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bou teks-na-spraak (TTS)-stelsels word al hoe belangriker op gebiede soos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as virtuele assistente, onderwys, outomatiese oproepsentrums, en ondersteuning vir die visueel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benadeel. Die TTS-probleem strek egter verder as die omskakeling van teks in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oudio; dit vereis dat die gesintetiseerde stem natuurlik moet wees, gepaste intonasie dra,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en pas by die gegewe konteks - 'n besonder moeilike taak vir Viëtnamees, 'n taal met</w:t>
      </w:r>
    </w:p>
    <w:p>
      <w:pPr>
        <w:autoSpaceDN w:val="0"/>
        <w:autoSpaceDE w:val="0"/>
        <w:widowControl/>
        <w:spacing w:line="266" w:lineRule="exact" w:before="0" w:after="0"/>
        <w:ind w:left="1054" w:right="0" w:firstLine="0"/>
        <w:jc w:val="left"/>
      </w:pPr>
      <w:r>
        <w:rPr>
          <w:rFonts w:ascii="TimesNewRomanPSMT" w:hAnsi="TimesNewRomanPSMT" w:eastAsia="TimesNewRomanPSMT"/>
          <w:b w:val="0"/>
          <w:i w:val="0"/>
          <w:color w:val="000000"/>
          <w:sz w:val="20"/>
          <w:u w:val="none"/>
        </w:rPr>
        <w:t>'n komplekse toonstelsel en aansienlike streeksvariasie (Do, 2026).</w:t>
      </w:r>
    </w:p>
    <w:p>
      <w:pPr>
        <w:autoSpaceDN w:val="0"/>
        <w:autoSpaceDE w:val="0"/>
        <w:widowControl/>
        <w:spacing w:line="266" w:lineRule="exact" w:before="0" w:after="0"/>
        <w:ind w:left="1282" w:right="0" w:firstLine="0"/>
        <w:jc w:val="left"/>
      </w:pPr>
      <w:r>
        <w:rPr>
          <w:rFonts w:ascii="TimesNewRomanPSMT" w:hAnsi="TimesNewRomanPSMT" w:eastAsia="TimesNewRomanPSMT"/>
          <w:b w:val="0"/>
          <w:i w:val="0"/>
          <w:color w:val="000000"/>
          <w:sz w:val="20"/>
          <w:u w:val="none"/>
        </w:rPr>
        <w:t>Tradisionele konketenatiewe en formant-gebaseerde TTS-metodes (Zen et al., 2019) 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Hidden Markov Model (HMM)-gebaseerde sintese (Zen et al., 2019) vertoon beperkings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in buigsaamheid, natuurlikheid en skaalbaarheid. In reaksie, moderne diep leer modelle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soos Tacotron (Wang et al., 2017), Tacotron 2 (Shen et al., 2018), FastSpeech (Ren)</w:t>
      </w:r>
    </w:p>
    <w:p>
      <w:pPr>
        <w:sectPr>
          <w:headerReference w:type="default" r:id="rId13"/>
          <w:footerReference w:type="default" r:id="rId14"/>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2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6" w:firstLine="0"/>
        <w:jc w:val="left"/>
      </w:pPr>
      <w:r>
        <w:rPr>
          <w:rFonts w:ascii="TimesNewRomanPSMT" w:hAnsi="TimesNewRomanPSMT" w:eastAsia="TimesNewRomanPSMT"/>
          <w:b w:val="0"/>
          <w:i w:val="0"/>
          <w:color w:val="000000"/>
          <w:sz w:val="20"/>
          <w:u w:val="none"/>
        </w:rPr>
        <w:t>et al., 2019,2020), en VITS (Kim et al., 2021) het meer effektiewe weë oopgemaak deur direk uit data te leer. Voortbou op hierdie vooruitgang, fokus hierdie studie op die navorsing en ontwikkeling van 'n Viëtnamese TTS-stelsel wat daarop gemik is om stemkwaliteit en praktiese toepaslikheid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2 Verwante werk</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 xml:space="preserve">Die Viëtnamese TTS-mark beskik oor verskeie prominente plaaslike platforms saam met internasionale oplossings.  FPT Smart Cloud Text to Speech, ontwikkel deur FPT Corporation, lewer 'n hoë-gehalte Viëtnamese TTS-diens deur 'n kommersiële API (Vu et al., 2025; Nguyen, 2023).  Dit pas diepleer-argitekture soos Tacotron (Wang et al., 2017) en Transformer-variante (Vaswani et al., 2017) toe tesame met vokoders soos WaveNet (Oord et al., 2016) en HiFi-GAN (Kong et al., 2020) om met diverse spoed, stem- en streeksbeheer te produseer.  Die stelsel word wyd gebruik in interaktiewe stemrespons (IVR), oudioboeke, virtuele assistente en aanlyn onderwys (Do, 2026).  Viettel AI Text-to-Speech bied 'n SaaS-gebaseerde oplossing wat vir Viëtnamees geoptimaliseer is (Vu et al., 2025; Nguyen, 2023), wat gebruik maak van gevorderde neurale modelle wat op grootskaalse, Viëtnamees-spesifieke spraakkorpora opgelei is om akkurate 206-uitspraak, en ekspressiewe, natuurlike uitspraak, oor- en uitspraak te verseker. al., 2016; Kong et al., 2020). Zalo AI Text to Speech, 'n produk van VNG Corporation, integreer diep NLP-modelle soos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PhoBERT(Nguyen&amp;Tuan, 2020) en BERT-styl vooropleiding (Devlin et al., 2019) met sintese-argitekture insluitend Tacotron, FastSpeech, en Rens et al., VITS, 20 et al. 2019; Kim et al., 2021), wat massiewe gebruikersdata gebruik om veelvuldige praatstyle te ondersteun (Vu et al., 2025).  Voice.vn spesialiseer in spraaksintese en stemkloning (Vu et al., 2025) deur gebruik te maak van end-tot-end-modelle soos VITS (Kim et al., 2021) en stemomskakelingstegnieke (Casanova et al., 2022; Chen et al., 2022), wat pasmaak vir stemafsluiting moontlik maak en pasmaak vir advertensies. podcasting en speletjies.  Google AI Studio verskaf 'n wolk-gebaseerde omgewing vir TTS via die Gemini-familie en Google Cloud Text-to-Speech (Vaswani et al., 2017; Ren et al., 2019), met veeltalige, natuurlike en konteks-aanpasbare stemgenerering (She et al., 20182., 20182).  EventLab bied TTS- en stemkloningnutsmiddels gebou op end-tot-end TTS (Wang et al., 2017) en luidsprekerinbeddingsmodelle (Chen et al., 2022; Kim et al., 2021; Casanova et al., 2022).  Oor die algemeen skuif die mark van </w:t>
        <w:br/>
        <w:t xml:space="preserve"> eenvoudige teksleesstelsels na intelligente kommunikasieplatforms, met sterk neigings in stemkloning (Jia et al., 2018) en multimodale KI.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Die oopbrongemeenskap het 'n reeks Viëtnamese TTS-modelle bygedra.  VietTTS is 'n verteenwoordigende stelsel wat gebou is met enkodeerder-dekodeerder of transformator-argitekture (Wang et al., 2017; Vaswani et al., 2017; Ren et al., 2019), opgelei op noukeurig genormaliseerde Viëtnamese data (Do, 2026) om tone, saamgestelde woorde en sintydstrukture te hanteer, wat geskikte naby-tyd-strukture bied, wat werklike latensie bied. e-leer en oudioboekproduksie (Nguyen, 2023; Vu et al., 2025). NeuTTS-Air fokus op liggewig, doeltreffende afleiding, balansering van stemkwaliteit en spoed om op SVE's of laehulpbrontoestelle te werk (Ren et al., 2019,2020;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3</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geoptimaliseer vir chatbots, IVR en IoT-toepassings (Ping et al., 2017; Kalchbrenner et al., 2018). Kani‑TTS is 'n grootskaalse model met ongeveer 370 miljoen parameters, wat mik na hoë ekspressiwiteit en professionele klankgehalte (Kim et al., 2021; Casanova et al., 2022), wat uitblink in oudioboek- en mediaproduksie, maar kragtige GPU's benodig vir ontplooiing (Ren et al., 2019; Kall et al., 2019 et al. 2018). VieNeu‑TTS kombineer TTS met stemkloning, onttrek sprekerkenmerke via tegnieke soos AutoVC (Qian et al., 2019) en StarGAN-VC (Kameoka et al., 2018) en pas dit toe op gesintetiseerde spraak (Casanova et al., 2022; Jiabling et al., 2018, maar ook personalization), maar ook. etiese en veiligheidskwessies. ViXTTS dien as 'n demonstrasieprojek vir stemkloning, wat die tegnologie vir vinnige eksperimentering illustreer (Thinh, 2024; Kim et al., 2021). Valtec-TTS is 'n kompakte model wat geoptimaliseer is vir uiters hulpbronbeperkte omgewings soos ingebedde toestelle en IoT (Ren et al., 2019,2020; Ping et al., 2017; Kalchbrenner et al., 2018), wat voldoende duidelikheid lewer vir eenvoudige toepassingkennisgewing en leiding. Gesamentlik illustreer hierdie modelle die rypwording van Viëtnamese TTS, met gespesialiseerde takke wat wissel van hoëgehalte-sintese tot liggewig-ontplooiing en stemverpersoonliking.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 xml:space="preserve">Datakwaliteit is die grondslag vir TTS. Die VLSP Speech Corpus is 'n groot, akademies georiënteerde datastel met multi-luidspreker opnames in gekontroleerde toestande (Ardila et al., 2020; Vu et al., 2025), ryklik geannoteer met fonetiese en streeksinligting (Yamagishi et al., 2019; Do, 2026). VIVOS is 'n kleiner oopbronkorpus (ongeveer 10–20 uur) van skoongeleesde spraak (Ardila et al., 2020; Ito &amp; Johnson, 2017), wat wyd gebruik word vir aanvanklike modellering ondanks beperkte emosionele en werklike diversiteit (Do, 2026). Kommersiële datastelle van FPT Corporation, Viettel Group en VNG Corporation is baie groter en meer gedetailleerd. FPT se datastel bestaan ​​uit honderde tot duisende ure se opnames van ateljeegehalte met volledige aantekeninge (Vu et al., 2025; Do, 2026; Oord et al., 2016; Kong et al., 2020). Viettel se data kombineer ateljee- en werklike wêreldopnames wat uiteenlopende aksente dek (Vu et al., 2025; Yamagishi et al., 2019; Jia et al., 2018; Do, 2026). Zalo se data trek voordeel uit sy breë gebruikersekosisteem, wat kontemporêre taalgebruik insluit (Vu et al.,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 xml:space="preserve">2025; Nguyen&amp;Tuan, 2020; Devlin et al., 2019; Kim et al., 2021). Daarbenewens bied VietTTS 'n basiese oop datastel met teks-klankpare wat voldoende is vir kleinskaalse eksperimente (Nguyen,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2023; Ito&amp;Johnson, 2017; Vu et al., 2025). In die algemeen bepaal datastelskaal, diversiteit, annotasiediepte en realisme TTS-prestasie direk.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3 Stelselontwerp</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08" w:firstLine="0"/>
        <w:jc w:val="left"/>
      </w:pPr>
      <w:r>
        <w:rPr>
          <w:rFonts w:ascii="TimesNewRomanPSMT" w:hAnsi="TimesNewRomanPSMT" w:eastAsia="TimesNewRomanPSMT"/>
          <w:b w:val="0"/>
          <w:i w:val="0"/>
          <w:color w:val="000000"/>
          <w:sz w:val="20"/>
          <w:u w:val="none"/>
        </w:rPr>
        <w:t>Vroeë TTS-stelsels het staatgemaak op aaneenlopende en formant-gebaseerde metodes, wat spraakeenhede saamstel of wiskundig modelleer, maar ly aan onbuigsaamheid, hoë databasiskoste en onnatuurlike prosodie (Zen et al., 2019).  Statistiese parametriese sintese met behulp van Hidden Markov Models (HMM) het buigsaamheid verbeter, maar steeds eentonige, minder natuurlike uitset gelewer (Zen et al., 2019).  Die koms van diep leer het end-tot-end-modelle gebring soos Tacotron en Tacotron 2, wat enkodeerder-dekodeerder-argitekture gebruik met aandag aan direk kaartteks na</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4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 xml:space="preserve">mel‑spektrogramme, gevolg deur vokoders soos WaveNet (Oord et al., 2016) of WaveGlow (Prenger et al., 2019) om golfvorms te genereer (Wang et al., 2017; Shen et al., 2018; Vaswani et al., 2017). Hierdie modelle leer outomaties fonetiese en prosodiese kenmerke, wat aansienlik meer natuurlike spraak lewer, maar het beperkings in afleidingsspoed en aandagfoute. FastSpeech en FastSpeech 2 het hierdie kwessies aangespreek deur aandag tydens afleiding te verwyder en duur-, toonhoogte- en energievoorspellers te gebruik, om vinniger en meer stabiele sintese met eksplisiete prosodiebeheer te bewerkstellig (Ren et al., 2019,2020; Vaswani et al., 2017). Die jongste sprong, VITS, integreer 'n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t>&amp;</w:t>
      </w:r>
      <w:r>
        <w:rPr>
          <w:rFonts w:ascii="TimesNewRomanPSMT" w:hAnsi="TimesNewRomanPSMT" w:eastAsia="TimesNewRomanPSMT"/>
          <w:b w:val="0"/>
          <w:i w:val="0"/>
          <w:color w:val="000000"/>
          <w:sz w:val="20"/>
          <w:u w:val="none"/>
        </w:rPr>
        <w:t>variasie-outo-enkodeerder (Kingma&amp;Welling, 2014) met 'n generatiewe teenstandernetwerk (Goodfellow et al., 2014) om golfvorms direk vanaf teks in 'n enkele end-tot-end-raamwerk te genereer, wat 'n aparte vocoder uitskakel en gehalte en doeltreffendheid verder bevorder., nova20 et al. 2022). Stemkloning en multi-luidsprekersintese het ook gevorder, met behulp van luidsprekerinbeddings en styltekens om verpersoonliking en nulskoot-aanpassing moontlik te maak (Jia et al., 2018; Casanova et al., 2022; Chen et al., 2022; Wang et al., 2018). Boonop versag oordrag en self-toesig leermetodes (Baevski et al., 2020; Hsu et al., 2021; Radford et al., 2022) dataskaarste vir Viëtnamees deur vooropleiding op groot veeltalige korpus. ’n Moderne TTS-pyplyn sluit tipies data-insameling en voorverwerking, teksnormalisering (Do, 2026), modelopleiding en golfvormgenerering in (Wang et al., 2017; Kim et al., 2021).</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Die voorgestelde stelsel implementeer 'n emosionele TTS-pyplyn: invoerteks wat emosie-etikette bevat, word volgens emosie gesegmenteer, elke segment word via viXTTS gesintetiseer, en die gevolglike golfvorms word aaneengeskakel met stiltegapings om die finale oudiolêer te produseer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5</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auto" w:before="312" w:after="0"/>
        <w:ind w:left="0" w:right="0" w:firstLine="0"/>
        <w:jc w:val="center"/>
      </w:pPr>
      <w:r>
        <w:rPr>
          <w:color w:val="000000"/>
          <w:u w:val="none"/>
        </w:rPr>
        <w:drawing>
          <wp:inline xmlns:a="http://schemas.openxmlformats.org/drawingml/2006/main" xmlns:pic="http://schemas.openxmlformats.org/drawingml/2006/picture">
            <wp:extent cx="4392930" cy="3294379"/>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92930" cy="3294379"/>
                    </a:xfrm>
                    <a:prstGeom prst="rect"/>
                  </pic:spPr>
                </pic:pic>
              </a:graphicData>
            </a:graphic>
          </wp:inline>
        </w:drawing>
      </w:r>
    </w:p>
    <w:p>
      <w:pPr>
        <w:autoSpaceDN w:val="0"/>
        <w:autoSpaceDE w:val="0"/>
        <w:widowControl/>
        <w:spacing w:line="250" w:lineRule="exact" w:before="252" w:after="150"/>
        <w:ind w:left="0" w:right="0" w:firstLine="0"/>
        <w:jc w:val="center"/>
      </w:pPr>
      <w:r>
        <w:rPr>
          <w:rFonts w:ascii="TimesNewRomanPS" w:hAnsi="TimesNewRomanPS" w:eastAsia="TimesNewRomanPS"/>
          <w:b/>
          <w:i w:val="0"/>
          <w:color w:val="000000"/>
          <w:sz w:val="18"/>
          <w:u w:val="none"/>
        </w:rPr>
        <w:t xml:space="preserve">Fig. 1. </w:t>
      </w:r>
      <w:r>
        <w:rPr>
          <w:rFonts w:ascii="TimesNewRomanPS" w:hAnsi="TimesNewRomanPS" w:eastAsia="TimesNewRomanPS"/>
          <w:b w:val="0"/>
          <w:i/>
          <w:color w:val="000000"/>
          <w:sz w:val="18"/>
          <w:u w:val="none"/>
        </w:rPr>
        <w:t>Werkvloei van die voorgestelde emosie-gebaseerde spraaksintesestelsel</w:t>
      </w:r>
    </w:p>
    <w:tbl>
      <w:tblPr>
        <w:tblW w:type="auto" w:w="0"/>
        <w:tblLayout w:type="autofit"/>
        <w:tblLook w:firstColumn="1" w:firstRow="1" w:lastColumn="0" w:lastRow="0" w:noHBand="0" w:noVBand="1" w:val="04A0"/>
        <w:tblInd w:w="1044.0" w:type="dxa"/>
      </w:tblPr>
      <w:tblGrid>
        <w:gridCol w:w="903"/>
        <w:gridCol w:w="903"/>
        <w:gridCol w:w="903"/>
        <w:gridCol w:w="903"/>
        <w:gridCol w:w="903"/>
        <w:gridCol w:w="903"/>
        <w:gridCol w:w="903"/>
        <w:gridCol w:w="903"/>
        <w:gridCol w:w="903"/>
        <w:gridCol w:w="903"/>
      </w:tblGrid>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72" w:after="0"/>
              <w:ind w:left="10" w:right="508" w:firstLine="0"/>
              <w:jc w:val="left"/>
            </w:pPr>
            <w:r>
              <w:rPr>
                <w:rFonts w:ascii="TimesNewRomanPSMT" w:hAnsi="TimesNewRomanPSMT" w:eastAsia="TimesNewRomanPSMT"/>
                <w:b w:val="0"/>
                <w:i w:val="0"/>
                <w:color w:val="000000"/>
                <w:sz w:val="20"/>
                <w:u w:val="none"/>
              </w:rPr>
              <w:t>In die eerste laag woord teksreël vir reële geskandeer. Wanneer 'n reël 'n emosie-etiket tussen hakies bevat, word die stelsel dit na 'n emosie-kaart-etiket deur 'n Viëtnamese sleutelwoordeboek te gebruik. Openvolgende reëls wat dieselfde emosie deel, word in 'n stuk (teks, emosie) gegroepeer. Vir sintese word die teks skoongemaak deur merkinoud te verwyder, spasies te normaliseer in Vietnamese ortografie te standaardiseer. In die tweede laag word elke deel na die viXTTS-inferensie-enjin oorgedra tesame met luidsprekermerke wat uit 'n verwysingsoudiolêer onttrek is. 'n Emosiekaart ken 'n toe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r>
        <w:trPr>
          <w:trHeight w:hRule="atLeast"/>
        </w:trPr>
        <w:tc>
          <w:tcPr>
            <w:tcW w:type="dxa" w:w="836"/>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verwysing</w:t>
            </w:r>
          </w:p>
        </w:tc>
        <w:tc>
          <w:tcPr>
            <w:tcW w:type="dxa" w:w="46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lêer</w:t>
            </w:r>
          </w:p>
        </w:tc>
        <w:tc>
          <w:tcPr>
            <w:tcW w:type="dxa" w:w="4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per</w:t>
            </w:r>
          </w:p>
        </w:tc>
        <w:tc>
          <w:tcPr>
            <w:tcW w:type="dxa" w:w="8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emosie</w:t>
            </w:r>
          </w:p>
        </w:tc>
        <w:tc>
          <w:tcPr>
            <w:tcW w:type="dxa" w:w="6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(bv.</w:t>
            </w:r>
          </w:p>
        </w:tc>
        <w:tc>
          <w:tcPr>
            <w:tcW w:type="dxa" w:w="74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neutraal</w:t>
            </w:r>
          </w:p>
        </w:tc>
        <w:tc>
          <w:tcPr>
            <w:tcW w:type="dxa" w:w="38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w:t>
            </w:r>
          </w:p>
        </w:tc>
        <w:tc>
          <w:tcPr>
            <w:tcW w:type="dxa" w:w="15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u w:val="none"/>
              </w:rPr>
              <w:t>base_voice.wav,</w:t>
            </w:r>
          </w:p>
        </w:tc>
        <w:tc>
          <w:tcPr>
            <w:tcW w:type="dxa" w:w="968"/>
            <w:tcBorders/>
            <w:tcMar>
              <w:start w:w="0" w:type="dxa"/>
              <w:end w:w="0" w:type="dxa"/>
            </w:tcMar>
          </w:tcPr>
          <w:p>
            <w:pPr>
              <w:autoSpaceDN w:val="0"/>
              <w:autoSpaceDE w:val="0"/>
              <w:widowControl/>
              <w:spacing w:line="266" w:lineRule="exact" w:before="0" w:after="0"/>
              <w:ind w:left="112" w:right="0" w:firstLine="0"/>
              <w:jc w:val="left"/>
            </w:pPr>
            <w:r>
              <w:rPr>
                <w:rFonts w:ascii="TimesNewRomanPSMT" w:hAnsi="TimesNewRomanPSMT" w:eastAsia="TimesNewRomanPSMT"/>
                <w:b w:val="0"/>
                <w:i w:val="0"/>
                <w:color w:val="000000"/>
                <w:sz w:val="20"/>
                <w:u w:val="none"/>
              </w:rPr>
              <w:t>vrolik</w:t>
            </w:r>
          </w:p>
        </w:tc>
        <w:tc>
          <w:tcPr>
            <w:tcW w:type="dxa" w:w="692"/>
            <w:tcBorders/>
            <w:tcMar>
              <w:start w:w="0" w:type="dxa"/>
              <w:end w:w="0" w:type="dxa"/>
            </w:tcMar>
          </w:tcPr>
          <w:p>
            <w:pPr>
              <w:autoSpaceDN w:val="0"/>
              <w:autoSpaceDE w:val="0"/>
              <w:widowControl/>
              <w:spacing w:line="266" w:lineRule="exact" w:before="0" w:after="0"/>
              <w:ind w:left="0" w:right="0" w:firstLine="0"/>
              <w:jc w:val="left"/>
            </w:pPr>
            <w:r>
              <w:rPr>
                <w:rFonts w:ascii="TimesNewRomanPSMT" w:hAnsi="TimesNewRomanPSMT" w:eastAsia="TimesNewRomanPSMT"/>
                <w:b w:val="0"/>
                <w:i w:val="0"/>
                <w:color w:val="000000"/>
                <w:sz w:val="20"/>
                <w:u w:val="none"/>
              </w:rPr>
              <w:t>→</w:t>
            </w:r>
          </w:p>
        </w:tc>
      </w:tr>
      <w:tr>
        <w:trPr>
          <w:trHeight w:hRule="atLeast"/>
        </w:trPr>
        <w:tc>
          <w:tcPr>
            <w:tcW w:type="dxa" w:w="7436"/>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26" w:after="0"/>
              <w:ind w:left="10" w:right="508" w:firstLine="0"/>
              <w:jc w:val="left"/>
            </w:pPr>
            <w:r>
              <w:rPr>
                <w:rFonts w:ascii="TimesNewRomanPSMT" w:hAnsi="TimesNewRomanPSMT" w:eastAsia="TimesNewRomanPSMT"/>
                <w:b w:val="0"/>
                <w:i w:val="0"/>
                <w:color w:val="000000"/>
                <w:sz w:val="20"/>
                <w:u w:val="none"/>
              </w:rPr>
              <w:t>cheerful_ref.wav). Om konsekwente spreker-identiteit te handhaaf, word latente spreker-inbeddings een keer uit 'n gebruiker-verskafde stemmonster onttrek en oor alle stukke hergebruik (Jia et al., 2018; Casanova et al., 2022). Die sintese produseer 'n golfvorm vir elkeen</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tc>
      </w:tr>
    </w:tbl>
    <w:p>
      <w:pPr>
        <w:autoSpaceDN w:val="0"/>
        <w:autoSpaceDE w:val="0"/>
        <w:widowControl/>
        <w:spacing w:line="20" w:lineRule="exact" w:before="0" w:after="0"/>
        <w:ind w:left="0" w:right="0"/>
      </w:pPr>
    </w:p>
    <w:tbl>
      <w:tblPr>
        <w:tblW w:type="auto" w:w="0"/>
        <w:tblLayout w:type="autofit"/>
        <w:tblLook w:firstColumn="1" w:firstRow="1" w:lastColumn="0" w:lastRow="0" w:noHBand="0" w:noVBand="1" w:val="04A0"/>
        <w:tblInd w:w="1044.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 w:firstLine="0"/>
              <w:jc w:val="left"/>
            </w:pPr>
            <w:r>
              <w:rPr>
                <w:rFonts w:ascii="TimesNewRomanPSMT" w:hAnsi="TimesNewRomanPSMT" w:eastAsia="TimesNewRomanPSMT"/>
                <w:b w:val="0"/>
                <w:i w:val="0"/>
                <w:color w:val="000000"/>
                <w:sz w:val="20"/>
                <w:u w:val="none"/>
              </w:rPr>
              <w:t xml:space="preserve">EMOSIE_KAART = { vrolik→vrolik_ref.wav, opgewonde→opgewonde_ref.wav, kalm→kalm_ref.wav, hartseer→kalm_ref.wav, neutral→basisstem.wav } ALGORITME EmosioneleTTS(teks, ref_oudio, uitvoer.wav): </w:t>
              <w:br/>
              <w:t xml:space="preserve"> stukke ←verdeel_vir_emosie(teks) </w:t>
              <w:br/>
              <w:t xml:space="preserve"> AS stukke leeg is: FOUT </w:t>
              <w:br/>
              <w:t xml:space="preserve"> (latent, inbed) ←kry_spreker_latente (ref_oudio) </w:t>
              <w:br/>
              <w:t xml:space="preserve"> golfvorms ←[] </w:t>
              <w:br/>
              <w:t xml:space="preserve"> VIR ELKE (t, e) IN stukke: </w:t>
              <w:br/>
              <w:t xml:space="preserve">  w ←viXTTS.inference(t, latent, embed) </w:t>
              <w:br/>
              <w:t xml:space="preserve">  golfvorms.append(w) </w:t>
              <w:br/>
              <w:t xml:space="preserve"> uitvoer ←aaneenskakel golfvorms met 300 ms stilte tussen </w:t>
              <w:br/>
              <w:t xml:space="preserve">  STOOR uitset →output.wav</w:t>
            </w:r>
            <w:r>
              <w:rPr>
                <w:color w:val="000000"/>
                <w:u w:val="none"/>
              </w:rPr>
              <w:t xml:space="preserve"> </w:t>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290" w:lineRule="exact" w:before="0" w:after="0"/>
        <w:ind w:left="0" w:right="0"/>
      </w:pPr>
    </w:p>
    <w:tbl>
      <w:tblPr>
        <w:tblW w:type="auto" w:w="0"/>
        <w:tblLayout w:type="autofit"/>
        <w:tblLook w:firstColumn="1" w:firstRow="1" w:lastColumn="0" w:lastRow="0" w:noHBand="0" w:noVBand="1" w:val="04A0"/>
        <w:tblInd w:w="1046.0" w:type="dxa"/>
      </w:tblPr>
      <w:tblGrid>
        <w:gridCol w:w="9026"/>
      </w:tblGrid>
      <w:tr>
        <w:trPr>
          <w:trHeight w:hRule="atLeast"/>
        </w:trPr>
        <w:tc>
          <w:tcPr>
            <w:tcW w:type="dxa" w:w="6744"/>
            <w:tcBorders/>
            <w:shd w:fill="000000"/>
            <w:tcMar>
              <w:start w:w="0" w:type="dxa"/>
              <w:end w:w="0" w:type="dxa"/>
            </w:tcMar>
          </w:tcPr>
          <w:p>
            <w:pPr>
              <w:autoSpaceDN w:val="0"/>
              <w:autoSpaceDE w:val="0"/>
              <w:widowControl/>
              <w:spacing w:line="220" w:lineRule="exact" w:before="350" w:after="0"/>
              <w:ind w:left="164" w:right="1440" w:firstLine="0"/>
              <w:jc w:val="left"/>
            </w:pPr>
            <w:r>
              <w:rPr>
                <w:rFonts w:ascii="TimesNewRomanPSMT" w:hAnsi="TimesNewRomanPSMT" w:eastAsia="TimesNewRomanPSMT"/>
                <w:b w:val="0"/>
                <w:i w:val="0"/>
                <w:color w:val="000000"/>
                <w:sz w:val="20"/>
                <w:u w:val="none"/>
              </w:rPr>
              <w:t xml:space="preserve">FUNKSIE verdeel_vir_emosie(teks): </w:t>
              <w:br/>
              <w:t xml:space="preserve"> herhaal elke reël; as reël '(' → sluit huidige deel bevat, detect_emotion(lyn), begin nuwe deel </w:t>
              <w:br/>
              <w:t xml:space="preserve"> anders → voeg by huidige stuk </w:t>
              <w:br/>
              <w:t xml:space="preserve"> elke stuk: clean_text (verwyder merkers, normaliseer Viëtnamees) gee stukke terug</w:t>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b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color w:val="000000"/>
                <w:u w:val="none"/>
              </w:rPr>
              <w:t xml:space="preserve"> </w:t>
            </w:r>
            <w:r>
              <w:rPr>
                <w:color w:val="000000"/>
                <w:u w:val="none"/>
              </w:rPr>
              <w:t xml:space="preserve"> </w:t>
            </w:r>
            <w:r>
              <w:rPr>
                <w:rFonts w:ascii="TimesNewRomanPSMT" w:hAnsi="TimesNewRomanPSMT" w:eastAsia="TimesNewRomanPSMT"/>
                <w:b w:val="0"/>
                <w:i w:val="0"/>
                <w:color w:val="000000"/>
                <w:sz w:val="20"/>
                <w:u w:val="none"/>
              </w:rPr>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1196" w:right="1440" w:bottom="14" w:left="1440" w:header="720" w:footer="720" w:gutter="0"/>
          <w:cols/>
          <w:docGrid w:linePitch="360"/>
        </w:sectPr>
      </w:pPr>
    </w:p>
    <w:p>
      <w:pPr>
        <w:autoSpaceDN w:val="0"/>
        <w:autoSpaceDE w:val="0"/>
        <w:widowControl/>
        <w:spacing w:line="220" w:lineRule="exact" w:before="0" w:after="976"/>
        <w:ind w:left="0" w:right="0"/>
        <w:jc w:val="center"/>
      </w:pP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6553200</wp:posOffset>
            </wp:positionV>
            <wp:extent cx="50800" cy="12700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 cy="127000"/>
                    </a:xfrm>
                    <a:prstGeom prst="rect"/>
                  </pic:spPr>
                </pic:pic>
              </a:graphicData>
            </a:graphic>
          </wp:anchor>
        </w:drawing>
      </w:r>
      <w:r>
        <w:rPr>
          <w:color w:val="000000"/>
          <w:u w:val="none"/>
        </w:rP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6553200</wp:posOffset>
            </wp:positionV>
            <wp:extent cx="1778000" cy="3810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778000" cy="381000"/>
                    </a:xfrm>
                    <a:prstGeom prst="rect"/>
                  </pic:spPr>
                </pic:pic>
              </a:graphicData>
            </a:graphic>
          </wp:anchor>
        </w:drawing>
      </w: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6 F. Skrywer en S. Skrywer</w:t>
      </w:r>
      <w:r>
        <w:rPr>
          <w:rFonts w:ascii="TimesNewRomanPSMT" w:hAnsi="TimesNewRomanPSMT" w:eastAsia="TimesNewRomanPSMT"/>
          <w:b w:val="0"/>
          <w:i w:val="0"/>
          <w:color w:val="000000"/>
          <w:sz w:val="18"/>
          <w:u w:val="none"/>
        </w:rPr>
      </w:r>
    </w:p>
    <w:p>
      <w:pPr>
        <w:autoSpaceDN w:val="0"/>
        <w:autoSpaceDE w:val="0"/>
        <w:widowControl/>
        <w:spacing w:line="268" w:lineRule="exact" w:before="302" w:after="0"/>
        <w:ind w:left="1054" w:right="0" w:firstLine="0"/>
        <w:jc w:val="left"/>
      </w:pPr>
      <w:r>
        <w:rPr>
          <w:rFonts w:ascii="TimesNewRomanPSMT" w:hAnsi="TimesNewRomanPSMT" w:eastAsia="TimesNewRomanPSMT"/>
          <w:b w:val="0"/>
          <w:i w:val="0"/>
          <w:color w:val="000000"/>
          <w:sz w:val="20"/>
          <w:u w:val="none"/>
        </w:rPr>
        <w:t>stuk, soos geformaliseer in die volgende algoritme</w:t>
      </w:r>
    </w:p>
    <w:p>
      <w:pPr>
        <w:autoSpaceDN w:val="0"/>
        <w:autoSpaceDE w:val="0"/>
        <w:widowControl/>
        <w:spacing w:line="240" w:lineRule="exact" w:before="240" w:after="0"/>
        <w:ind w:left="1054" w:right="1054" w:firstLine="228"/>
        <w:jc w:val="left"/>
      </w:pPr>
      <w:r>
        <w:rPr>
          <w:rFonts w:ascii="TimesNewRomanPSMT" w:hAnsi="TimesNewRomanPSMT" w:eastAsia="TimesNewRomanPSMT"/>
          <w:b w:val="0"/>
          <w:i w:val="0"/>
          <w:color w:val="000000"/>
          <w:sz w:val="20"/>
          <w:u w:val="none"/>
        </w:rPr>
        <w:t>In die derde laag word die gegenereerde golfvorms opeenvolgend aaneengeskakel met 300 ms se stilte wat ingevoeg word om emosionele draaie te skei en abrupte snye te vermy. Die finale uitset word as 'n WAV-lêer gestoor. Hierdie ontwerp kombineer effektief sleutelwoord-gebaseerde emosieklassifikasie met voorwaardelike TTS en oudio-naverwerking, wat merkergedrewe, ekspressiewe spraaksintese moontlik maak deur 'n verenigde stemidentiteit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4 Evalueringsmetrieke</w:t>
      </w:r>
      <w:r>
        <w:rPr>
          <w:rFonts w:ascii="TimesNewRomanPS" w:hAnsi="TimesNewRomanPS" w:eastAsia="TimesNewRomanPS"/>
          <w:b/>
          <w:i w:val="0"/>
          <w:color w:val="000000"/>
          <w:sz w:val="24"/>
          <w:u w:val="none"/>
        </w:rPr>
      </w:r>
    </w:p>
    <w:p>
      <w:pPr>
        <w:autoSpaceDN w:val="0"/>
        <w:autoSpaceDE w:val="0"/>
        <w:widowControl/>
        <w:spacing w:line="240" w:lineRule="exact" w:before="232" w:after="0"/>
        <w:ind w:left="1054" w:right="1056" w:firstLine="0"/>
        <w:jc w:val="left"/>
      </w:pPr>
      <w:r>
        <w:rPr>
          <w:rFonts w:ascii="TimesNewRomanPSMT" w:hAnsi="TimesNewRomanPSMT" w:eastAsia="TimesNewRomanPSMT"/>
          <w:b w:val="0"/>
          <w:i w:val="0"/>
          <w:color w:val="000000"/>
          <w:sz w:val="20"/>
          <w:u w:val="none"/>
        </w:rPr>
        <w:t>Om die teks-na-spraak- en stemkloningstelsel volledig te assesseer, word twee komplementêre diep-leer-gebaseerde maatstawwe gebruik: sprekerooreenkoms via Resemblyzer, en waargenome spraakkwaliteit via DNSMOS.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Resemblyzer is 'n neurale netwerk-gebaseerde instrument vir sprekerverifikasie en stemooreenkomsmeting (Mishra et al., 2023). In sy kern gebruik dit 'n sprekerverifikasie-enkodeerder wat opgelei is met 'n algemene end-tot-end verlies (Wan et al., 2018). Die operasionele beginsel is soos volg: eerstens, 'n insetuiting - óf die oorspronklike verwysingstem óf die gesintetiseerde gekloonde stem - word verwerk deur 'n diep neurale netwerk wat 'n vaste-dimensionele inbeddingsvektor onttrek (dikwels na verwys as 'n d-vektor of luidsprekerinbedding). Hierdie vektor is ontwerp om die unieke vokale identiteit van die spreker vas te vang, insluitend eienskappe soos timbre, toonhoogte kontoer en praatstyl, terwyl dit grootliks onveranderlik is van die linguistiese inhoud of die spesifieke woorde wat gespreek word. Met ander woorde, ongeag wat die persoon sê, moet die inbedding konsekwent bly vir dieselfde spreker en duidelik verskillend vir verskillende sprekers (Wan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Sodra die inbeddingsvektore vir beide die verwysingsoudio A (die oorspronklike spreker se stem) en die gesintetiseerde oudio B (die gekloonde stem) verkry is, word hul ooreenkoms gekwantifiseer deur die cosinus-ooreenkoms metriek te gebruik:</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138" w:lineRule="exact" w:before="236" w:after="0"/>
        <w:ind w:left="0" w:right="3156" w:firstLine="0"/>
        <w:jc w:val="right"/>
      </w:pPr>
      <w:r>
        <w:rPr>
          <w:rFonts w:ascii="CambriaMath" w:hAnsi="CambriaMath" w:eastAsia="CambriaMath"/>
          <w:b w:val="0"/>
          <w:i w:val="0"/>
          <w:color w:val="000000"/>
          <w:sz w:val="14"/>
          <w:u w:val="none"/>
        </w:rPr>
        <w:t>d</w:t>
      </w:r>
    </w:p>
    <w:p>
      <w:pPr>
        <w:autoSpaceDN w:val="0"/>
        <w:autoSpaceDE w:val="0"/>
        <w:widowControl/>
        <w:spacing w:line="266" w:lineRule="exact" w:before="0" w:after="0"/>
        <w:ind w:left="2254" w:right="0" w:firstLine="0"/>
        <w:jc w:val="left"/>
      </w:pPr>
      <w:r>
        <w:rPr>
          <w:rFonts w:ascii="CambriaMath" w:hAnsi="CambriaMath" w:eastAsia="CambriaMath"/>
          <w:b w:val="0"/>
          <w:i w:val="0"/>
          <w:color w:val="000000"/>
          <w:sz w:val="20"/>
          <w:u w:val="none"/>
        </w:rPr>
        <w:t xml:space="preserve">C </w:t>
      </w:r>
      <w:r>
        <w:rPr>
          <w:rFonts w:ascii="TimesNewRomanPSMT" w:hAnsi="TimesNewRomanPSMT" w:eastAsia="TimesNewRomanPSMT"/>
          <w:b w:val="0"/>
          <w:i w:val="0"/>
          <w:color w:val="000000"/>
          <w:sz w:val="20"/>
          <w:u w:val="none"/>
        </w:rPr>
        <w:t>o</w:t>
      </w:r>
      <w:r>
        <w:rPr>
          <w:rFonts w:ascii="CambriaMath" w:hAnsi="CambriaMath" w:eastAsia="CambriaMath"/>
          <w:b w:val="0"/>
          <w:i w:val="0"/>
          <w:color w:val="000000"/>
          <w:sz w:val="20"/>
          <w:u w:val="none"/>
        </w:rPr>
        <w:t xml:space="preserve">sineGelykvormigheid </w:t>
      </w:r>
      <w:r>
        <w:rPr>
          <w:rFonts w:ascii="CambriaMath" w:hAnsi="CambriaMath" w:eastAsia="CambriaMath"/>
          <w:b w:val="0"/>
          <w:i w:val="0"/>
          <w:color w:val="000000"/>
          <w:sz w:val="20"/>
          <w:u w:val="none"/>
        </w:rPr>
        <w:t xml:space="preserve">= </w:t>
      </w:r>
      <w:r>
        <w:rPr>
          <w:color w:val="000000"/>
          <w:u w:val="none"/>
        </w:rPr>
        <w:t xml:space="preserve"> </w:t>
      </w:r>
      <w:r>
        <w:rPr>
          <w:rFonts w:ascii="CambriaMath" w:hAnsi="CambriaMath" w:eastAsia="CambriaMath"/>
          <w:b w:val="0"/>
          <w:i w:val="0"/>
          <w:color w:val="000000"/>
          <w:sz w:val="20"/>
          <w:u w:val="none"/>
        </w:rPr>
        <w:t xml:space="preserve">A, B= </w:t>
      </w:r>
      <w:r>
        <w:rPr>
          <w:color w:val="000000"/>
          <w:u w:val="none"/>
        </w:rPr>
      </w:r>
      <w:r>
        <w:rPr>
          <w:color w:val="000000"/>
          <w:u w:val="none"/>
        </w:rPr>
      </w:r>
      <w:r>
        <w:rPr>
          <w:rFonts w:ascii="CambriaMath" w:hAnsi="CambriaMath" w:eastAsia="CambriaMath"/>
          <w:b w:val="0"/>
          <w:i w:val="0"/>
          <w:color w:val="000000"/>
          <w:sz w:val="20"/>
          <w:u w:val="none"/>
        </w:rPr>
        <w:t>=</w:t>
      </w:r>
      <w:r>
        <w:rPr>
          <w:color w:val="000000"/>
          <w:u w:val="none"/>
        </w:rPr>
        <w:t xml:space="preserve"> </w:t>
      </w:r>
      <w:r>
        <w:rPr>
          <w:color w:val="000000"/>
          <w:u w:val="none"/>
        </w:rPr>
        <w:t xml:space="preserve"> </w:t>
      </w:r>
      <w:r>
        <w:rPr>
          <w:color w:val="000000"/>
          <w:u w:val="none"/>
        </w:rPr>
        <w:t xml:space="preserve"> </w:t>
      </w:r>
      <w:r>
        <w:rPr>
          <w:rFonts w:ascii="CambriaMath" w:hAnsi="CambriaMath" w:eastAsia="CambriaMath"/>
          <w:b w:val="0"/>
          <w:i w:val="0"/>
          <w:color w:val="000000"/>
          <w:sz w:val="20"/>
          <w:u w:val="none"/>
        </w:rPr>
        <w:t xml:space="preserve">A </w:t>
      </w:r>
      <w:r>
        <w:rPr>
          <w:rFonts w:ascii="CambriaMath" w:hAnsi="CambriaMath" w:eastAsia="CambriaMath"/>
          <w:b w:val="0"/>
          <w:i w:val="0"/>
          <w:color w:val="000000"/>
          <w:sz w:val="14"/>
          <w:u w:val="none"/>
        </w:rPr>
        <w:t xml:space="preserve">⋅B = σ </w:t>
      </w:r>
      <w:r>
        <w:rPr>
          <w:rFonts w:ascii="CambriaMath" w:hAnsi="CambriaMath" w:eastAsia="CambriaMath"/>
          <w:b w:val="0"/>
          <w:i w:val="0"/>
          <w:color w:val="000000"/>
          <w:sz w:val="20"/>
          <w:u w:val="none"/>
        </w:rPr>
        <w:t xml:space="preserve">i=1 </w:t>
      </w:r>
      <w:r>
        <w:rPr>
          <w:rFonts w:ascii="CambriaMath" w:hAnsi="CambriaMath" w:eastAsia="CambriaMath"/>
          <w:b w:val="0"/>
          <w:i w:val="0"/>
          <w:color w:val="000000"/>
          <w:sz w:val="14"/>
          <w:u w:val="none"/>
        </w:rPr>
        <w:t xml:space="preserve">A </w:t>
      </w:r>
      <w:r>
        <w:rPr>
          <w:rFonts w:ascii="CambriaMath" w:hAnsi="CambriaMath" w:eastAsia="CambriaMath"/>
          <w:b w:val="0"/>
          <w:i w:val="0"/>
          <w:color w:val="000000"/>
          <w:sz w:val="20"/>
          <w:u w:val="none"/>
        </w:rPr>
        <w:t xml:space="preserve">i B </w:t>
      </w:r>
      <w:r>
        <w:rPr>
          <w:rFonts w:ascii="CambriaMath" w:hAnsi="CambriaMath" w:eastAsia="CambriaMath"/>
          <w:b w:val="0"/>
          <w:i w:val="0"/>
          <w:color w:val="000000"/>
          <w:sz w:val="14"/>
          <w:u w:val="none"/>
        </w:rPr>
        <w:t>i</w:t>
      </w:r>
    </w:p>
    <w:p>
      <w:pPr>
        <w:autoSpaceDN w:val="0"/>
        <w:autoSpaceDE w:val="0"/>
        <w:widowControl/>
        <w:spacing w:line="152" w:lineRule="exact" w:before="48" w:after="0"/>
        <w:ind w:left="4440" w:right="3312" w:firstLine="0"/>
        <w:jc w:val="left"/>
      </w:pPr>
      <w:r>
        <w:rPr>
          <w:rFonts w:ascii="CambriaMath" w:hAnsi="CambriaMath" w:eastAsia="CambriaMath"/>
          <w:b w:val="0"/>
          <w:i w:val="0"/>
          <w:color w:val="000000"/>
          <w:sz w:val="20"/>
          <w:u w:val="none"/>
        </w:rPr>
        <w:t xml:space="preserve">A B σ </w:t>
      </w:r>
      <w:r>
        <w:rPr>
          <w:color w:val="000000"/>
          <w:u w:val="none"/>
        </w:rPr>
      </w:r>
      <w:r>
        <w:rPr>
          <w:rFonts w:ascii="CambriaMath" w:hAnsi="CambriaMath" w:eastAsia="CambriaMath"/>
          <w:b w:val="0"/>
          <w:i w:val="0"/>
          <w:color w:val="000000"/>
          <w:sz w:val="20"/>
          <w:u w:val="none"/>
        </w:rPr>
      </w:r>
      <w:r>
        <w:rPr>
          <w:color w:val="000000"/>
          <w:u w:val="none"/>
        </w:rPr>
      </w:r>
      <w:r>
        <w:rPr>
          <w:rFonts w:ascii="CambriaMath" w:hAnsi="CambriaMath" w:eastAsia="CambriaMath"/>
          <w:b w:val="0"/>
          <w:i w:val="0"/>
          <w:color w:val="000000"/>
          <w:sz w:val="2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br/>
      </w:r>
      <w:r>
        <w:rPr>
          <w:color w:val="000000"/>
          <w:u w:val="none"/>
        </w:rPr>
      </w:r>
    </w:p>
    <w:p>
      <w:pPr>
        <w:autoSpaceDN w:val="0"/>
        <w:autoSpaceDE w:val="0"/>
        <w:widowControl/>
        <w:spacing w:line="138" w:lineRule="exact" w:before="0" w:after="0"/>
        <w:ind w:left="5556" w:right="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A</w:t>
      </w:r>
      <w:r>
        <w:rPr>
          <w:rFonts w:ascii="CambriaMath" w:hAnsi="CambriaMath" w:eastAsia="CambriaMath"/>
          <w:b w:val="0"/>
          <w:i w:val="0"/>
          <w:color w:val="000000"/>
          <w:sz w:val="14"/>
          <w:u w:val="none"/>
        </w:rPr>
        <w:t xml:space="preserve"> i </w:t>
      </w:r>
      <w:r>
        <w:rPr>
          <w:color w:val="000000"/>
          <w:u w:val="none"/>
        </w:rPr>
      </w:r>
      <w:r>
        <w:rPr>
          <w:color w:val="000000"/>
          <w:u w:val="none"/>
        </w:rPr>
      </w:r>
      <w:r>
        <w:rPr>
          <w:rFonts w:ascii="CambriaMath" w:hAnsi="CambriaMath" w:eastAsia="CambriaMath"/>
          <w:b w:val="0"/>
          <w:i w:val="0"/>
          <w:color w:val="000000"/>
          <w:sz w:val="14"/>
          <w:u w:val="none"/>
        </w:rPr>
      </w:r>
      <w:r>
        <w:rPr>
          <w:rFonts w:ascii="CambriaMath" w:hAnsi="CambriaMath" w:eastAsia="CambriaMath"/>
          <w:b w:val="0"/>
          <w:i w:val="0"/>
          <w:color w:val="000000"/>
          <w:sz w:val="20"/>
          <w:u w:val="none"/>
        </w:rPr>
        <w:t xml:space="preserve">2 σ </w:t>
      </w:r>
      <w:r>
        <w:rPr>
          <w:color w:val="000000"/>
          <w:u w:val="none"/>
        </w:rPr>
      </w:r>
      <w:r>
        <w:rPr>
          <w:color w:val="000000"/>
          <w:u w:val="none"/>
        </w:rPr>
      </w:r>
      <w:r>
        <w:rPr>
          <w:color w:val="000000"/>
          <w:u w:val="none"/>
        </w:rPr>
      </w:r>
      <w:r>
        <w:rPr>
          <w:color w:val="000000"/>
          <w:u w:val="none"/>
        </w:rPr>
      </w:r>
      <w:r>
        <w:rPr>
          <w:rFonts w:ascii="CambriaMath" w:hAnsi="CambriaMath" w:eastAsia="CambriaMath"/>
          <w:b w:val="0"/>
          <w:i w:val="0"/>
          <w:color w:val="000000"/>
          <w:sz w:val="14"/>
          <w:u w:val="none"/>
        </w:rPr>
        <w:t>d</w:t>
      </w:r>
    </w:p>
    <w:p>
      <w:pPr>
        <w:autoSpaceDN w:val="0"/>
        <w:autoSpaceDE w:val="0"/>
        <w:widowControl/>
        <w:spacing w:line="144" w:lineRule="exact" w:before="0" w:after="0"/>
        <w:ind w:left="6312" w:right="2160" w:firstLine="0"/>
        <w:jc w:val="left"/>
      </w:pPr>
      <w:r>
        <w:rPr>
          <w:rFonts w:ascii="CambriaMath" w:hAnsi="CambriaMath" w:eastAsia="CambriaMath"/>
          <w:b w:val="0"/>
          <w:i w:val="0"/>
          <w:color w:val="000000"/>
          <w:sz w:val="14"/>
          <w:u w:val="none"/>
        </w:rPr>
        <w:t xml:space="preserve">i=1 </w:t>
      </w:r>
      <w:r>
        <w:rPr>
          <w:rFonts w:ascii="CambriaMath" w:hAnsi="CambriaMath" w:eastAsia="CambriaMath"/>
          <w:b w:val="0"/>
          <w:i w:val="0"/>
          <w:color w:val="000000"/>
          <w:sz w:val="20"/>
          <w:u w:val="none"/>
        </w:rPr>
        <w:t xml:space="preserve">B </w:t>
      </w:r>
      <w:r>
        <w:rPr>
          <w:rFonts w:ascii="CambriaMath" w:hAnsi="CambriaMath" w:eastAsia="CambriaMath"/>
          <w:b w:val="0"/>
          <w:i w:val="0"/>
          <w:color w:val="000000"/>
          <w:sz w:val="14"/>
          <w:u w:val="none"/>
        </w:rPr>
        <w:t xml:space="preserve">i </w:t>
        <w:br/>
        <w:t xml:space="preserve"> 2</w:t>
      </w:r>
      <w:r>
        <w:rPr>
          <w:color w:val="000000"/>
          <w:u w:val="none"/>
        </w:rPr>
      </w:r>
      <w:r>
        <w:rPr>
          <w:color w:val="000000"/>
          <w:u w:val="none"/>
        </w:rPr>
      </w:r>
      <w:r>
        <w:rPr>
          <w:rFonts w:ascii="CambriaMath" w:hAnsi="CambriaMath" w:eastAsia="CambriaMath"/>
          <w:b w:val="0"/>
          <w:i w:val="0"/>
          <w:color w:val="000000"/>
          <w:sz w:val="14"/>
          <w:u w:val="none"/>
        </w:rPr>
      </w:r>
    </w:p>
    <w:p>
      <w:pPr>
        <w:autoSpaceDN w:val="0"/>
        <w:autoSpaceDE w:val="0"/>
        <w:widowControl/>
        <w:spacing w:line="240" w:lineRule="exact" w:before="310" w:after="0"/>
        <w:ind w:left="1054" w:right="1008" w:firstLine="0"/>
        <w:jc w:val="left"/>
      </w:pPr>
      <w:r>
        <w:rPr>
          <w:rFonts w:ascii="TimesNewRomanPSMT" w:hAnsi="TimesNewRomanPSMT" w:eastAsia="TimesNewRomanPSMT"/>
          <w:b w:val="0"/>
          <w:i w:val="0"/>
          <w:color w:val="000000"/>
          <w:sz w:val="20"/>
          <w:u w:val="none"/>
        </w:rPr>
        <w:t>Die cosinus-ooreenkoms meet die hoek tussen die twee vektore in die hoë-dimensionele inbeddingsruimte. ’n Waarde naby aan 1 dui aan dat die vektore in byna dieselfde rigting wys, wat beteken dat die twee stemme as hoogs eenders of amper identies in terme van sprekeridentiteit beskou word (Jia et al., 2018; Wan et al., 2018).   Omgekeerd, 'n waarde naby aan 0 of negatief sal verskillende sprekers voorstel.  Resemblyzer verskaf dus 'n objektiewe, outomatiese en reproduceerbare maatstaf om te evalueer hoe getrou 'n stemkloningstelsel die oorspronklike spreker se vokale eienskappe bewaar.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DNSMOS (Deep Noise Suppression Mean Opinion Score) is 'n nie-indringende, diep leer-gebaseerde maatstaf wat ontwerp is om die perseptuele kwaliteit van spraakseine te skat sonder om 'n skoon verwysing oudiosein te vereis (Reddy et al., 2021). Dit maak dit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1644"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8 F. Skrywer en S. Skrywer</w:t>
      </w:r>
      <w:r>
        <w:rPr>
          <w:rFonts w:ascii="TimesNewRomanPSMT" w:hAnsi="TimesNewRomanPSMT" w:eastAsia="TimesNewRomanPSMT"/>
          <w:b w:val="0"/>
          <w:i w:val="0"/>
          <w:color w:val="000000"/>
          <w:sz w:val="18"/>
          <w:u w:val="none"/>
        </w:rPr>
      </w:r>
    </w:p>
    <w:p>
      <w:pPr>
        <w:autoSpaceDN w:val="0"/>
        <w:tabs>
          <w:tab w:pos="1620" w:val="left"/>
        </w:tabs>
        <w:autoSpaceDE w:val="0"/>
        <w:widowControl/>
        <w:spacing w:line="332" w:lineRule="exact" w:before="306" w:after="0"/>
        <w:ind w:left="1054" w:right="0" w:firstLine="0"/>
        <w:jc w:val="left"/>
      </w:pPr>
      <w:r>
        <w:rPr>
          <w:rFonts w:ascii="TimesNewRomanPS" w:hAnsi="TimesNewRomanPS" w:eastAsia="TimesNewRomanPS"/>
          <w:b/>
          <w:i w:val="0"/>
          <w:color w:val="000000"/>
          <w:sz w:val="24"/>
          <w:u w:val="none"/>
        </w:rPr>
        <w:t>5 Eksperimente en resultate</w:t>
      </w:r>
      <w:r>
        <w:rPr>
          <w:rFonts w:ascii="TimesNewRomanPS" w:hAnsi="TimesNewRomanPS" w:eastAsia="TimesNewRomanPS"/>
          <w:b/>
          <w:i w:val="0"/>
          <w:color w:val="000000"/>
          <w:sz w:val="24"/>
          <w:u w:val="none"/>
        </w:rPr>
      </w:r>
    </w:p>
    <w:p>
      <w:pPr>
        <w:autoSpaceDN w:val="0"/>
        <w:autoSpaceDE w:val="0"/>
        <w:widowControl/>
        <w:spacing w:line="240" w:lineRule="exact" w:before="236" w:after="0"/>
        <w:ind w:left="1054" w:right="1054" w:firstLine="0"/>
        <w:jc w:val="left"/>
      </w:pPr>
      <w:r>
        <w:rPr>
          <w:rFonts w:ascii="TimesNewRomanPS" w:hAnsi="TimesNewRomanPS" w:eastAsia="TimesNewRomanPS"/>
          <w:b/>
          <w:i w:val="0"/>
          <w:color w:val="000000"/>
          <w:sz w:val="20"/>
          <w:u w:val="none"/>
        </w:rPr>
        <w:t xml:space="preserve">Opleiding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datastel. Die stelsel is opgelei en geëvalueer deur gebruik te maak van die viVoice-korpus (Le, 2024), die eerste publiek beskikbare grootskaalse Viëtnamese spraakdatastel wat ontwerp is vir veelsprekende teks-na-spraak. viVoice bestaan ​​uit meer as 1 000 uur se skoongemaakte oudio en gepaardgaande transkripsies afkomstig van 186 YouTube-kanale. Alle oudiomonsters word verskaf teen 'n 24 kHz-steekproeftempo in WAV-formaat, met agtergrondmusiek en geraas verwyder om skoon opleidingsdata te verseker. Die datastel dek 'n wye verskeidenheid luidsprekers, aksente (Noordelike, Sentraal, Suidelike) en praatstyle, wat dit veral geskik maak vir die opleiding van robuuste multi-luidspreker Viëtnamese TTS-modelle soos XTTS-v2. viVoice word vrygestel onder die CC BY‑NC‑SA 4.0-lisensie.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Die voorverwerkingspyplyn is ontwerp om wisselvalligheid uit te skakel wat sprekerooreenkoms kan verswak. Stappe het ingesluit: (i) handmatige verifikasie van transkripsie-akkuraatheid om perfekte belyning te verseker; (ii) teksnormalisering met behulp van VietNormalizer (Do, 2026) om afkortings uit te brei, nommers na woorde om te skakel en leestekens te standaardiseer; (iii) fonetiese belyning met 'n gedwonge belyning wat op Viëtnamees opgelei is, wat foon-gebaseerde raamwerk lewer; stilte-stroop aan die begin en einde van uitsprake om leidende/sluitende stilte te verwyder; en (v) hardheid normalisering tot -23 LUFS om konsekwente waargenome volume oor sprekers te handhaaf. Van kardinale belang, vir elke spreker is 'n hoë-gehalte luidspreker inbedding onttrek met behulp van die Resemblyzer enkodeerder en gestoor as 'n verwysing vektor. Die kondisionering van die generatiewe model op hierdie inbeddings tydens opleiding moedig die dekodeerder aan om sprekeridentiteit te bewaar, wat direk bygedra het tot die hoë cosinus-ooreenkomstellings (0.90+) wat in die eksperimente waargeneem 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54" w:firstLine="228"/>
        <w:jc w:val="left"/>
      </w:pPr>
      <w:r>
        <w:rPr>
          <w:rFonts w:ascii="TimesNewRomanPS" w:hAnsi="TimesNewRomanPS" w:eastAsia="TimesNewRomanPS"/>
          <w:b/>
          <w:i w:val="0"/>
          <w:color w:val="000000"/>
          <w:sz w:val="20"/>
          <w:u w:val="none"/>
        </w:rPr>
        <w:t xml:space="preserve">Eksperimentele </w:t>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opstelling. Die evaluering is uitgevoer op 'n GIGABYTE G5 GD-skootrekenaar, 'n speletjie-georiënteerde notaboek waarvan die spesifikasies in Tabel 1 gelys word. Die stelsel het veral 'n toegewyde NVIDIA GeForce RTX GPU (Ampere-argitektuur, diskreet) saam met 'n geïntegreerde Intel UHD-grafiese adapter. Die PyTorch-omgewing wat vir afleidings gebruik is, was egter slegs 'n SVE-bou, wat beteken dat alle sintese-bewerkings op die Intel Core i5-11400H SVE gehardloop het sonder GPU-versnelling.  Hierdie opstelling weerspieël 'n algemene ontplooiingscenario waar CUDA-bestuurders of biblioteke nie geïnstalleer is nie, of waar die stelsel versoenbaarheid bo maksimum spoed prioritiseer.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0" w:right="2376" w:firstLine="0"/>
        <w:jc w:val="right"/>
      </w:pPr>
      <w:r>
        <w:rPr>
          <w:rFonts w:ascii="TimesNewRomanPSMT" w:hAnsi="TimesNewRomanPSMT" w:eastAsia="TimesNewRomanPSMT"/>
          <w:b w:val="0"/>
          <w:i w:val="0"/>
          <w:color w:val="000000"/>
          <w:sz w:val="20"/>
          <w:u w:val="none"/>
        </w:rPr>
        <w:t>Tabel 1. Stelselkonfigurasie van die toetsplatform.</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170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Komponent</w:t>
            </w:r>
          </w:p>
        </w:tc>
        <w:tc>
          <w:tcPr>
            <w:tcW w:type="dxa" w:w="3448"/>
            <w:tcBorders>
              <w:bottom w:sz="5.760000228881836" w:val="single" w:color="#000000"/>
            </w:tcBorders>
            <w:tcMar>
              <w:start w:w="0" w:type="dxa"/>
              <w:end w:w="0" w:type="dxa"/>
            </w:tcMar>
          </w:tcPr>
          <w:p>
            <w:pPr>
              <w:autoSpaceDN w:val="0"/>
              <w:autoSpaceDE w:val="0"/>
              <w:widowControl/>
              <w:spacing w:line="242" w:lineRule="exact" w:before="0" w:after="0"/>
              <w:ind w:left="624" w:right="0" w:firstLine="0"/>
              <w:jc w:val="left"/>
            </w:pPr>
            <w:r>
              <w:rPr>
                <w:rFonts w:ascii="TimesNewRomanPSMT" w:hAnsi="TimesNewRomanPSMT" w:eastAsia="TimesNewRomanPSMT"/>
                <w:b w:val="0"/>
                <w:i w:val="0"/>
                <w:color w:val="000000"/>
                <w:sz w:val="18"/>
                <w:u w:val="none"/>
              </w:rPr>
              <w:t>Spesifikasie</w:t>
            </w:r>
          </w:p>
        </w:tc>
      </w:tr>
      <w:tr>
        <w:trPr>
          <w:trHeight w:hRule="atLeast"/>
        </w:trPr>
        <w:tc>
          <w:tcPr>
            <w:tcW w:type="dxa" w:w="1702"/>
            <w:tcBorders>
              <w:top w:sz="5.760000228881836" w:val="single" w:color="#000000"/>
            </w:tcBorders>
            <w:tcMar>
              <w:start w:w="0" w:type="dxa"/>
              <w:end w:w="0" w:type="dxa"/>
            </w:tcMar>
          </w:tcPr>
          <w:p>
            <w:pPr>
              <w:autoSpaceDN w:val="0"/>
              <w:autoSpaceDE w:val="0"/>
              <w:widowControl/>
              <w:spacing w:line="348" w:lineRule="exact" w:before="0" w:after="0"/>
              <w:ind w:left="78" w:right="576" w:firstLine="0"/>
              <w:jc w:val="left"/>
            </w:pPr>
            <w:r>
              <w:rPr>
                <w:rFonts w:ascii="TimesNewRomanPSMT" w:hAnsi="TimesNewRomanPSMT" w:eastAsia="TimesNewRomanPSMT"/>
                <w:b w:val="0"/>
                <w:i w:val="0"/>
                <w:color w:val="000000"/>
                <w:sz w:val="18"/>
                <w:u w:val="none"/>
              </w:rPr>
              <w:t xml:space="preserve">Model </w:t>
              <w:br/>
              <w:t xml:space="preserve">ALMAL </w:t>
              <w:br/>
              <w:t xml:space="preserve">RAM </w:t>
              <w:br/>
              <w:t xml:space="preserve">GPU </w:t>
              <w:br/>
              <w:t>Diskrete GPU-bedryfstelsel</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448"/>
            <w:tcBorders>
              <w:top w:sz="5.760000228881836" w:val="single" w:color="#000000"/>
            </w:tcBorders>
            <w:tcMar>
              <w:start w:w="0" w:type="dxa"/>
              <w:end w:w="0" w:type="dxa"/>
            </w:tcMar>
          </w:tcPr>
          <w:p>
            <w:pPr>
              <w:autoSpaceDN w:val="0"/>
              <w:autoSpaceDE w:val="0"/>
              <w:widowControl/>
              <w:spacing w:line="258" w:lineRule="exact" w:before="22" w:after="0"/>
              <w:ind w:left="624" w:right="144" w:firstLine="0"/>
              <w:jc w:val="left"/>
            </w:pPr>
            <w:r>
              <w:rPr>
                <w:rFonts w:ascii="TimesNewRomanPSMT" w:hAnsi="TimesNewRomanPSMT" w:eastAsia="TimesNewRomanPSMT"/>
                <w:b w:val="0"/>
                <w:i w:val="0"/>
                <w:color w:val="000000"/>
                <w:sz w:val="18"/>
                <w:u w:val="none"/>
              </w:rPr>
              <w:t xml:space="preserve">GIGABYTE G5 GD </w:t>
              <w:br/>
              <w:t xml:space="preserve">Intel Core i5‑11400H (8 kerne, 12 drade, 2,70 GHz basis) </w:t>
              <w:br/>
              <w:t xml:space="preserve">16 GB DDR4 (15,8 GB bruikbaar) </w:t>
              <w:br/>
              <w:t xml:space="preserve">Intel UHD-grafika (geïntegreer) </w:t>
              <w:br/>
              <w:t xml:space="preserve">NVIDIA GeForce RTX (Ampere, toegewyd) </w:t>
              <w:br/>
              <w:t>Windows 11 Huis Enkeltaal</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br/>
            </w:r>
            <w:r>
              <w:rPr>
                <w:rFonts w:ascii="TimesNewRomanPSMT" w:hAnsi="TimesNewRomanPSMT" w:eastAsia="TimesNewRomanPSMT"/>
                <w:b w:val="0"/>
                <w:i w:val="0"/>
                <w:color w:val="000000"/>
                <w:sz w:val="18"/>
                <w:u w:val="none"/>
              </w:rPr>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9</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326" w:after="32"/>
        <w:ind w:left="0" w:right="3746" w:firstLine="0"/>
        <w:jc w:val="right"/>
      </w:pPr>
      <w:r>
        <w:rPr>
          <w:rFonts w:ascii="TimesNewRomanPSMT" w:hAnsi="TimesNewRomanPSMT" w:eastAsia="TimesNewRomanPSMT"/>
          <w:b w:val="0"/>
          <w:i w:val="0"/>
          <w:color w:val="000000"/>
          <w:sz w:val="18"/>
          <w:u w:val="none"/>
        </w:rPr>
        <w:t>(Bou 26200)</w:t>
      </w:r>
    </w:p>
    <w:tbl>
      <w:tblPr>
        <w:tblW w:type="auto" w:w="0"/>
        <w:tblLayout w:type="autofit"/>
        <w:tblLook w:firstColumn="1" w:firstRow="1" w:lastColumn="0" w:lastRow="0" w:noHBand="0" w:noVBand="1" w:val="04A0"/>
        <w:tblInd w:w="1930.0" w:type="dxa"/>
      </w:tblPr>
      <w:tblGrid>
        <w:gridCol w:w="4513"/>
        <w:gridCol w:w="4513"/>
      </w:tblGrid>
      <w:tr>
        <w:trPr>
          <w:trHeight w:hRule="atLeast"/>
        </w:trPr>
        <w:tc>
          <w:tcPr>
            <w:tcW w:type="dxa" w:w="1870"/>
            <w:tcBorders>
              <w:bottom w:sz="11.520000457763672" w:val="single" w:color="#000000"/>
            </w:tcBorders>
            <w:tcMar>
              <w:start w:w="0" w:type="dxa"/>
              <w:end w:w="0" w:type="dxa"/>
            </w:tcMar>
          </w:tcPr>
          <w:p>
            <w:pPr>
              <w:autoSpaceDN w:val="0"/>
              <w:autoSpaceDE w:val="0"/>
              <w:widowControl/>
              <w:spacing w:line="242" w:lineRule="exact" w:before="32" w:after="0"/>
              <w:ind w:left="86" w:right="0" w:firstLine="0"/>
              <w:jc w:val="left"/>
            </w:pPr>
            <w:r>
              <w:rPr>
                <w:rFonts w:ascii="TimesNewRomanPSMT" w:hAnsi="TimesNewRomanPSMT" w:eastAsia="TimesNewRomanPSMT"/>
                <w:b w:val="0"/>
                <w:i w:val="0"/>
                <w:color w:val="000000"/>
                <w:sz w:val="18"/>
                <w:u w:val="none"/>
              </w:rPr>
              <w:t>Afleiding Backend</w:t>
            </w:r>
          </w:p>
        </w:tc>
        <w:tc>
          <w:tcPr>
            <w:tcW w:type="dxa" w:w="3296"/>
            <w:tcBorders>
              <w:bottom w:sz="11.520000457763672" w:val="single" w:color="#000000"/>
            </w:tcBorders>
            <w:tcMar>
              <w:start w:w="0" w:type="dxa"/>
              <w:end w:w="0" w:type="dxa"/>
            </w:tcMar>
          </w:tcPr>
          <w:p>
            <w:pPr>
              <w:autoSpaceDN w:val="0"/>
              <w:autoSpaceDE w:val="0"/>
              <w:widowControl/>
              <w:spacing w:line="242" w:lineRule="exact" w:before="32" w:after="0"/>
              <w:ind w:left="464" w:right="0" w:firstLine="0"/>
              <w:jc w:val="left"/>
            </w:pPr>
            <w:r>
              <w:rPr>
                <w:rFonts w:ascii="TimesNewRomanPSMT" w:hAnsi="TimesNewRomanPSMT" w:eastAsia="TimesNewRomanPSMT"/>
                <w:b w:val="0"/>
                <w:i w:val="0"/>
                <w:color w:val="000000"/>
                <w:sz w:val="18"/>
                <w:u w:val="none"/>
              </w:rPr>
              <w:t>PyTorch Slegs SVE, 4 drade</w:t>
            </w:r>
          </w:p>
        </w:tc>
      </w:tr>
    </w:tbl>
    <w:p>
      <w:pPr>
        <w:autoSpaceDN w:val="0"/>
        <w:autoSpaceDE w:val="0"/>
        <w:widowControl/>
        <w:spacing w:line="240" w:lineRule="exact" w:before="278" w:after="0"/>
        <w:ind w:left="1054" w:right="1054" w:firstLine="228"/>
        <w:jc w:val="left"/>
      </w:pPr>
      <w:r>
        <w:rPr>
          <w:rFonts w:ascii="TimesNewRomanPS" w:hAnsi="TimesNewRomanPS" w:eastAsia="TimesNewRomanPS"/>
          <w:b/>
          <w:i w:val="0"/>
          <w:color w:val="000000"/>
          <w:sz w:val="20"/>
          <w:u w:val="none"/>
        </w:rPr>
        <w:t xml:space="preserve">Stemooreenkoms en spraakkwaliteit.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stelsel is geëvalueer deur oorspronklike en gesintetiseerde (gekloonde) spraakmonsters van vier sprekers te vergelyk. Elke monsterpaar het bestaan ​​uit 'n reference.wav-lêer en sy kloon. Twee assesseringsmetodes is toegepas: Resemblyzer vir stemooreenkoms (Wan et al., 2018; Mishra et al., 2023), en DNSMOS vir waargenome klankkwaliteit (Reddy et al., 2021). Stemooreenkomsresultate word in Tabel 2 aangebied. Alle pare bereik 'n cosinus-ooreenkoms van ongeveer 0.90 (wat wissel van 0.9013 tot 0.9346), wat bevestig dat die VITS-model, ten spyte van die gebruik van die SVE, vokale timbre en sprekeridentiteit merkwaardig goed bewaar (Jia et al., 2018).</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2" w:firstLine="228"/>
        <w:jc w:val="left"/>
      </w:pPr>
      <w:r>
        <w:rPr>
          <w:rFonts w:ascii="TimesNewRomanPSMT" w:hAnsi="TimesNewRomanPSMT" w:eastAsia="TimesNewRomanPSMT"/>
          <w:b w:val="0"/>
          <w:i w:val="0"/>
          <w:color w:val="000000"/>
          <w:sz w:val="20"/>
          <w:u w:val="none"/>
        </w:rPr>
        <w:t>Stemooreenkoms-resultate vir die viXTTS-model word in Tabel 2 aangebied. Alle pare bereik 'n cosinus-ooreenkoms van ongeveer 0.90 (wat wissel van 0.9013 tot 0.9346), wat bevestig dat die model vokale timbre en sprekeridentiteit merkwaardig goed bewaar (Jia et al., 2018). Luidspreker-ooreenkoms vir ander enjins is nie in hierdie evaluasielopie gemeet nie, aangesien die meeste van hulle nie inheems stemkloning ondersteun nie of 'n aparte verwysing-inbedding-onttrekkingstap vereis.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14"/>
        <w:ind w:left="2148" w:right="0" w:firstLine="0"/>
        <w:jc w:val="left"/>
      </w:pPr>
      <w:r>
        <w:rPr>
          <w:rFonts w:ascii="TimesNewRomanPSMT" w:hAnsi="TimesNewRomanPSMT" w:eastAsia="TimesNewRomanPSMT"/>
          <w:b w:val="0"/>
          <w:i w:val="0"/>
          <w:color w:val="000000"/>
          <w:sz w:val="20"/>
          <w:u w:val="none"/>
        </w:rPr>
        <w:t>Tabel 2. Stemooreenkoms tussen oorspronklike en gekloonde spraak.</w:t>
      </w:r>
    </w:p>
    <w:tbl>
      <w:tblPr>
        <w:tblW w:type="auto" w:w="0"/>
        <w:tblLayout w:type="autofit"/>
        <w:tblLook w:firstColumn="1" w:firstRow="1" w:lastColumn="0" w:lastRow="0" w:noHBand="0" w:noVBand="1" w:val="04A0"/>
        <w:tblInd w:w="1938.0" w:type="dxa"/>
      </w:tblPr>
      <w:tblGrid>
        <w:gridCol w:w="4513"/>
        <w:gridCol w:w="4513"/>
      </w:tblGrid>
      <w:tr>
        <w:trPr>
          <w:trHeight w:hRule="atLeast"/>
        </w:trPr>
        <w:tc>
          <w:tcPr>
            <w:tcW w:type="dxa" w:w="2142"/>
            <w:tcBorders>
              <w:bottom w:sz="5.760000228881836" w:val="single" w:color="#000000"/>
            </w:tcBorders>
            <w:tcMar>
              <w:start w:w="0" w:type="dxa"/>
              <w:end w:w="0" w:type="dxa"/>
            </w:tcMar>
          </w:tcPr>
          <w:p>
            <w:pPr>
              <w:autoSpaceDN w:val="0"/>
              <w:autoSpaceDE w:val="0"/>
              <w:widowControl/>
              <w:spacing w:line="242" w:lineRule="exact" w:before="0" w:after="0"/>
              <w:ind w:left="78" w:right="0" w:firstLine="0"/>
              <w:jc w:val="left"/>
            </w:pPr>
            <w:r>
              <w:rPr>
                <w:rFonts w:ascii="TimesNewRomanPSMT" w:hAnsi="TimesNewRomanPSMT" w:eastAsia="TimesNewRomanPSMT"/>
                <w:b w:val="0"/>
                <w:i w:val="0"/>
                <w:color w:val="000000"/>
                <w:sz w:val="18"/>
                <w:u w:val="none"/>
              </w:rPr>
              <w:t>Knap klank</w:t>
            </w:r>
          </w:p>
        </w:tc>
        <w:tc>
          <w:tcPr>
            <w:tcW w:type="dxa" w:w="3008"/>
            <w:tcBorders>
              <w:bottom w:sz="5.760000228881836" w:val="single" w:color="#000000"/>
            </w:tcBorders>
            <w:tcMar>
              <w:start w:w="0" w:type="dxa"/>
              <w:end w:w="0" w:type="dxa"/>
            </w:tcMar>
          </w:tcPr>
          <w:p>
            <w:pPr>
              <w:autoSpaceDN w:val="0"/>
              <w:autoSpaceDE w:val="0"/>
              <w:widowControl/>
              <w:spacing w:line="242" w:lineRule="exact" w:before="0" w:after="0"/>
              <w:ind w:left="184" w:right="0" w:firstLine="0"/>
              <w:jc w:val="left"/>
            </w:pPr>
            <w:r>
              <w:rPr>
                <w:rFonts w:ascii="TimesNewRomanPSMT" w:hAnsi="TimesNewRomanPSMT" w:eastAsia="TimesNewRomanPSMT"/>
                <w:b w:val="0"/>
                <w:i w:val="0"/>
                <w:color w:val="000000"/>
                <w:sz w:val="18"/>
                <w:u w:val="none"/>
              </w:rPr>
              <w:t>Ooreenkomstigheid</w:t>
            </w:r>
          </w:p>
        </w:tc>
      </w:tr>
      <w:tr>
        <w:trPr>
          <w:trHeight w:hRule="atLeast"/>
        </w:trPr>
        <w:tc>
          <w:tcPr>
            <w:tcW w:type="dxa" w:w="2142"/>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78" w:right="144" w:firstLine="0"/>
              <w:jc w:val="left"/>
            </w:pPr>
            <w:r>
              <w:rPr>
                <w:rFonts w:ascii="TimesNewRomanPSMT" w:hAnsi="TimesNewRomanPSMT" w:eastAsia="TimesNewRomanPSMT"/>
                <w:b w:val="0"/>
                <w:i w:val="0"/>
                <w:color w:val="000000"/>
                <w:sz w:val="18"/>
                <w:u w:val="none"/>
              </w:rPr>
              <w:t xml:space="preserve">giong_goc af giong_clone Danh_1 en Danh_clone </w:t>
              <w:br/>
              <w:t>Khang1 en Khang_clone Ngoc1 en Ngoc_clone</w:t>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tc>
        <w:tc>
          <w:tcPr>
            <w:tcW w:type="dxa" w:w="3008"/>
            <w:tcBorders>
              <w:top w:sz="5.760000228881836" w:val="single" w:color="#000000"/>
              <w:bottom w:sz="11.520000457763672" w:val="single" w:color="#000000"/>
            </w:tcBorders>
            <w:tcMar>
              <w:start w:w="0" w:type="dxa"/>
              <w:end w:w="0" w:type="dxa"/>
            </w:tcMar>
          </w:tcPr>
          <w:p>
            <w:pPr>
              <w:autoSpaceDN w:val="0"/>
              <w:autoSpaceDE w:val="0"/>
              <w:widowControl/>
              <w:spacing w:line="284" w:lineRule="exact" w:before="0" w:after="0"/>
              <w:ind w:left="184" w:right="2328" w:firstLine="0"/>
              <w:jc w:val="left"/>
            </w:pPr>
            <w:r>
              <w:rPr>
                <w:rFonts w:ascii="TimesNewRomanPSMT" w:hAnsi="TimesNewRomanPSMT" w:eastAsia="TimesNewRomanPSMT"/>
                <w:b w:val="0"/>
                <w:i w:val="0"/>
                <w:color w:val="000000"/>
                <w:sz w:val="18"/>
                <w:u w:val="none"/>
              </w:rPr>
              <w:t xml:space="preserve">0,9038 </w:t>
              <w:br/>
              <w:t xml:space="preserve">0,9019 </w:t>
              <w:br/>
              <w:t xml:space="preserve">0,9346 </w:t>
              <w:br/>
              <w:t>0,9013</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tc>
      </w:tr>
    </w:tbl>
    <w:p>
      <w:pPr>
        <w:autoSpaceDN w:val="0"/>
        <w:autoSpaceDE w:val="0"/>
        <w:widowControl/>
        <w:spacing w:line="240" w:lineRule="exact" w:before="274" w:after="0"/>
        <w:ind w:left="1054" w:right="1054" w:firstLine="228"/>
        <w:jc w:val="left"/>
      </w:pPr>
      <w:r>
        <w:rPr>
          <w:rFonts w:ascii="TimesNewRomanPSMT" w:hAnsi="TimesNewRomanPSMT" w:eastAsia="TimesNewRomanPSMT"/>
          <w:b w:val="0"/>
          <w:i w:val="0"/>
          <w:color w:val="000000"/>
          <w:sz w:val="20"/>
          <w:u w:val="none"/>
        </w:rPr>
        <w:t>Spraakkwaliteitresultate van DNSMOS oor al sewe geëvalueerde enjins word in Tabel 3 opgesom. Vier maatstawwe is aangeteken: OVRL (algehele kwaliteit), SIG (spraakkwaliteit), BAK (agtergrondgeraas-indringendheid), en die aanvullende P808-telling ('n algehele luisterkwaliteitberamer wat met ITU-T P.808 belyn is). Tellings is op die standaard 1–5 gemiddelde opinietellingskaal, waar hoër waardes beter perseptuele kwaliteit aandui.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68" w:lineRule="exact" w:before="0" w:after="0"/>
        <w:ind w:left="1668" w:right="0" w:firstLine="0"/>
        <w:jc w:val="left"/>
      </w:pPr>
      <w:r>
        <w:rPr>
          <w:rFonts w:ascii="TimesNewRomanPSMT" w:hAnsi="TimesNewRomanPSMT" w:eastAsia="TimesNewRomanPSMT"/>
          <w:b w:val="0"/>
          <w:i w:val="0"/>
          <w:color w:val="000000"/>
          <w:sz w:val="20"/>
          <w:u w:val="none"/>
        </w:rPr>
        <w:t>Tabel 3. DNSMOS-evaluering van gesintetiseerde Viëtnamese spraakkwaliteit..</w:t>
      </w:r>
    </w:p>
    <w:tbl>
      <w:tblPr>
        <w:tblW w:type="auto" w:w="0"/>
        <w:tblLayout w:type="autofit"/>
        <w:tblLook w:firstColumn="1" w:firstRow="1" w:lastColumn="0" w:lastRow="0" w:noHBand="0" w:noVBand="1" w:val="04A0"/>
        <w:tblInd w:w="404.00000000000006" w:type="dxa"/>
      </w:tblPr>
      <w:tblGrid>
        <w:gridCol w:w="1504"/>
        <w:gridCol w:w="1504"/>
        <w:gridCol w:w="1504"/>
        <w:gridCol w:w="1504"/>
        <w:gridCol w:w="1504"/>
        <w:gridCol w:w="1504"/>
      </w:tblGrid>
      <w:tr>
        <w:trPr>
          <w:trHeight w:hRule="atLeast"/>
        </w:trPr>
        <w:tc>
          <w:tcPr>
            <w:tcW w:type="dxa" w:w="1996"/>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Model</w:t>
            </w:r>
          </w:p>
        </w:tc>
        <w:tc>
          <w:tcPr>
            <w:tcW w:type="dxa" w:w="20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Lêer oudio</w:t>
            </w:r>
          </w:p>
        </w:tc>
        <w:tc>
          <w:tcPr>
            <w:tcW w:type="dxa" w:w="116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168" w:right="0" w:firstLine="0"/>
              <w:jc w:val="left"/>
            </w:pPr>
            <w:r>
              <w:rPr>
                <w:rFonts w:ascii="TimesNewRomanPSMT" w:hAnsi="TimesNewRomanPSMT" w:eastAsia="TimesNewRomanPSMT"/>
                <w:b w:val="0"/>
                <w:i w:val="0"/>
                <w:color w:val="000000"/>
                <w:sz w:val="18"/>
                <w:u w:val="none"/>
              </w:rPr>
              <w:t>OVRL MOS</w:t>
            </w:r>
          </w:p>
        </w:tc>
        <w:tc>
          <w:tcPr>
            <w:tcW w:type="dxa" w:w="90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SIG MOS</w:t>
            </w:r>
          </w:p>
        </w:tc>
        <w:tc>
          <w:tcPr>
            <w:tcW w:type="dxa" w:w="1020"/>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BAK MOS</w:t>
            </w:r>
          </w:p>
        </w:tc>
        <w:tc>
          <w:tcPr>
            <w:tcW w:type="dxa" w:w="1082"/>
            <w:tcBorders>
              <w:top w:sz="11.520000457763672" w:val="single" w:color="#000000"/>
              <w:bottom w:sz="5.760000228881836" w:val="single" w:color="#000000"/>
            </w:tcBorders>
            <w:tcMar>
              <w:start w:w="0" w:type="dxa"/>
              <w:end w:w="0" w:type="dxa"/>
            </w:tcMar>
          </w:tcPr>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P808 MOS</w:t>
            </w:r>
          </w:p>
        </w:tc>
      </w:tr>
      <w:tr>
        <w:trPr>
          <w:trHeight w:hRule="atLeast"/>
        </w:trPr>
        <w:tc>
          <w:tcPr>
            <w:tcW w:type="dxa" w:w="1996"/>
            <w:tcBorders>
              <w:top w:sz="5.760000228881836" w:val="single" w:color="#000000"/>
            </w:tcBorders>
            <w:tcMar>
              <w:start w:w="0" w:type="dxa"/>
              <w:end w:w="0" w:type="dxa"/>
            </w:tcMar>
          </w:tcPr>
          <w:p>
            <w:pPr>
              <w:autoSpaceDN w:val="0"/>
              <w:autoSpaceDE w:val="0"/>
              <w:widowControl/>
              <w:spacing w:line="242" w:lineRule="exact" w:before="10" w:after="0"/>
              <w:ind w:left="0" w:right="0" w:firstLine="0"/>
              <w:jc w:val="center"/>
            </w:pPr>
            <w:r>
              <w:rPr>
                <w:rFonts w:ascii="TimesNewRomanPSMT" w:hAnsi="TimesNewRomanPSMT" w:eastAsia="TimesNewRomanPSMT"/>
                <w:b w:val="0"/>
                <w:i w:val="0"/>
                <w:color w:val="000000"/>
                <w:sz w:val="18"/>
                <w:u w:val="none"/>
              </w:rPr>
              <w:t>Voorgestelde viXTTS-gebaseer</w:t>
            </w:r>
          </w:p>
        </w:tc>
        <w:tc>
          <w:tcPr>
            <w:tcW w:type="dxa" w:w="20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58" w:right="0" w:firstLine="0"/>
              <w:jc w:val="left"/>
            </w:pPr>
            <w:r>
              <w:rPr>
                <w:rFonts w:ascii="TimesNewRomanPSMT" w:hAnsi="TimesNewRomanPSMT" w:eastAsia="TimesNewRomanPSMT"/>
                <w:b w:val="0"/>
                <w:i w:val="0"/>
                <w:color w:val="000000"/>
                <w:sz w:val="18"/>
                <w:u w:val="none"/>
              </w:rPr>
              <w:t>giong_clone.wav</w:t>
            </w:r>
          </w:p>
        </w:tc>
        <w:tc>
          <w:tcPr>
            <w:tcW w:type="dxa" w:w="116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168" w:right="0" w:firstLine="0"/>
              <w:jc w:val="left"/>
            </w:pPr>
            <w:r>
              <w:rPr>
                <w:rFonts w:ascii="TimesNewRomanPSMT" w:hAnsi="TimesNewRomanPSMT" w:eastAsia="TimesNewRomanPSMT"/>
                <w:b w:val="0"/>
                <w:i w:val="0"/>
                <w:color w:val="000000"/>
                <w:sz w:val="18"/>
                <w:u w:val="none"/>
              </w:rPr>
              <w:t>3,38</w:t>
            </w:r>
          </w:p>
        </w:tc>
        <w:tc>
          <w:tcPr>
            <w:tcW w:type="dxa" w:w="90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32" w:after="0"/>
              <w:ind w:left="88" w:right="0" w:firstLine="0"/>
              <w:jc w:val="left"/>
            </w:pPr>
            <w:r>
              <w:rPr>
                <w:rFonts w:ascii="TimesNewRomanPSMT" w:hAnsi="TimesNewRomanPSMT" w:eastAsia="TimesNewRomanPSMT"/>
                <w:b w:val="0"/>
                <w:i w:val="0"/>
                <w:color w:val="000000"/>
                <w:sz w:val="18"/>
                <w:u w:val="none"/>
              </w:rPr>
              <w:t>3,60</w:t>
            </w:r>
          </w:p>
        </w:tc>
        <w:tc>
          <w:tcPr>
            <w:tcW w:type="dxa" w:w="1020"/>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88" w:right="0" w:firstLine="0"/>
              <w:jc w:val="left"/>
            </w:pPr>
            <w:r>
              <w:rPr>
                <w:rFonts w:ascii="TimesNewRomanPSMT" w:hAnsi="TimesNewRomanPSMT" w:eastAsia="TimesNewRomanPSMT"/>
                <w:b w:val="0"/>
                <w:i w:val="0"/>
                <w:color w:val="000000"/>
                <w:sz w:val="18"/>
                <w:u w:val="none"/>
              </w:rPr>
              <w:t>4.14</w:t>
            </w:r>
          </w:p>
        </w:tc>
        <w:tc>
          <w:tcPr>
            <w:tcW w:type="dxa" w:w="1082"/>
            <w:vMerge w:val="restart"/>
            <w:tcBorders>
              <w:top w:sz="5.760000228881836" w:val="single" w:color="#000000"/>
            </w:tcBorders>
            <w:tcMar>
              <w:start w:w="0" w:type="dxa"/>
              <w:end w:w="0" w:type="dxa"/>
            </w:tcMar>
            <w:tcMar>
              <w:start w:w="0" w:type="dxa"/>
              <w:end w:w="0" w:type="dxa"/>
            </w:tcMar>
          </w:tcPr>
          <w:p>
            <w:pPr>
              <w:autoSpaceDN w:val="0"/>
              <w:autoSpaceDE w:val="0"/>
              <w:widowControl/>
              <w:spacing w:line="242" w:lineRule="exact" w:before="12" w:after="0"/>
              <w:ind w:left="148" w:right="0" w:firstLine="0"/>
              <w:jc w:val="left"/>
            </w:pPr>
            <w:r>
              <w:rPr>
                <w:rFonts w:ascii="TimesNewRomanPSMT" w:hAnsi="TimesNewRomanPSMT" w:eastAsia="TimesNewRomanPSMT"/>
                <w:b w:val="0"/>
                <w:i w:val="0"/>
                <w:color w:val="000000"/>
                <w:sz w:val="18"/>
                <w:u w:val="none"/>
              </w:rPr>
              <w:t>4.03</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Stem kloning stelsel</w:t>
            </w: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c>
          <w:tcPr>
            <w:tcW w:type="dxa" w:w="1504"/>
            <w:vMerge/>
            <w:tcBorders>
              <w:top w:sz="5.760000228881836" w:val="single" w:color="#000000"/>
            </w:tcBorders>
          </w:tcPr>
          <w:p/>
        </w:tc>
      </w:tr>
      <w:tr>
        <w:trPr>
          <w:trHeight w:hRule="atLeast"/>
        </w:trPr>
        <w:tc>
          <w:tcPr>
            <w:tcW w:type="dxa" w:w="1996"/>
            <w:tcBorders/>
            <w:tcMar>
              <w:start w:w="0" w:type="dxa"/>
              <w:end w:w="0" w:type="dxa"/>
            </w:tcMar>
          </w:tcPr>
          <w:p>
            <w:pPr>
              <w:autoSpaceDN w:val="0"/>
              <w:autoSpaceDE w:val="0"/>
              <w:widowControl/>
              <w:spacing w:line="242" w:lineRule="exact" w:before="16" w:after="0"/>
              <w:ind w:left="84" w:right="0" w:firstLine="0"/>
              <w:jc w:val="left"/>
            </w:pPr>
            <w:r>
              <w:rPr>
                <w:rFonts w:ascii="TimesNewRomanPSMT" w:hAnsi="TimesNewRomanPSMT" w:eastAsia="TimesNewRomanPSMT"/>
                <w:b w:val="0"/>
                <w:i w:val="0"/>
                <w:color w:val="000000"/>
                <w:sz w:val="18"/>
                <w:u w:val="none"/>
              </w:rPr>
              <w:t>Piper Vietnamese TTS</w:t>
            </w:r>
          </w:p>
        </w:tc>
        <w:tc>
          <w:tcPr>
            <w:tcW w:type="dxa" w:w="2060"/>
            <w:tcBorders/>
            <w:tcMar>
              <w:start w:w="0" w:type="dxa"/>
              <w:end w:w="0" w:type="dxa"/>
            </w:tcMar>
          </w:tcPr>
          <w:p>
            <w:pPr>
              <w:autoSpaceDN w:val="0"/>
              <w:autoSpaceDE w:val="0"/>
              <w:widowControl/>
              <w:spacing w:line="242" w:lineRule="exact" w:before="18" w:after="0"/>
              <w:ind w:left="0" w:right="0" w:firstLine="0"/>
              <w:jc w:val="center"/>
            </w:pPr>
            <w:r>
              <w:rPr>
                <w:rFonts w:ascii="TimesNewRomanPSMT" w:hAnsi="TimesNewRomanPSMT" w:eastAsia="TimesNewRomanPSMT"/>
                <w:b w:val="0"/>
                <w:i w:val="0"/>
                <w:color w:val="000000"/>
                <w:sz w:val="18"/>
                <w:u w:val="none"/>
              </w:rPr>
              <w:t>Piper_Viëtnamees_TTS</w:t>
            </w:r>
          </w:p>
        </w:tc>
        <w:tc>
          <w:tcPr>
            <w:tcW w:type="dxa" w:w="1160"/>
            <w:tcBorders/>
            <w:tcMar>
              <w:start w:w="0" w:type="dxa"/>
              <w:end w:w="0" w:type="dxa"/>
            </w:tcMar>
          </w:tcPr>
          <w:p>
            <w:pPr>
              <w:autoSpaceDN w:val="0"/>
              <w:autoSpaceDE w:val="0"/>
              <w:widowControl/>
              <w:spacing w:line="242" w:lineRule="exact" w:before="18" w:after="0"/>
              <w:ind w:left="168" w:right="0" w:firstLine="0"/>
              <w:jc w:val="left"/>
            </w:pPr>
            <w:r>
              <w:rPr>
                <w:rFonts w:ascii="TimesNewRomanPSMT" w:hAnsi="TimesNewRomanPSMT" w:eastAsia="TimesNewRomanPSMT"/>
                <w:b w:val="0"/>
                <w:i w:val="0"/>
                <w:color w:val="000000"/>
                <w:sz w:val="18"/>
                <w:u w:val="none"/>
              </w:rPr>
              <w:t>3.00</w:t>
            </w:r>
          </w:p>
        </w:tc>
        <w:tc>
          <w:tcPr>
            <w:tcW w:type="dxa" w:w="90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3,40</w:t>
            </w:r>
          </w:p>
        </w:tc>
        <w:tc>
          <w:tcPr>
            <w:tcW w:type="dxa" w:w="1020"/>
            <w:tcBorders/>
            <w:tcMar>
              <w:start w:w="0" w:type="dxa"/>
              <w:end w:w="0" w:type="dxa"/>
            </w:tcMar>
          </w:tcPr>
          <w:p>
            <w:pPr>
              <w:autoSpaceDN w:val="0"/>
              <w:autoSpaceDE w:val="0"/>
              <w:widowControl/>
              <w:spacing w:line="242" w:lineRule="exact" w:before="16" w:after="0"/>
              <w:ind w:left="88" w:right="0" w:firstLine="0"/>
              <w:jc w:val="left"/>
            </w:pPr>
            <w:r>
              <w:rPr>
                <w:rFonts w:ascii="TimesNewRomanPSMT" w:hAnsi="TimesNewRomanPSMT" w:eastAsia="TimesNewRomanPSMT"/>
                <w:b w:val="0"/>
                <w:i w:val="0"/>
                <w:color w:val="000000"/>
                <w:sz w:val="18"/>
                <w:u w:val="none"/>
              </w:rPr>
              <w:t>3,81</w:t>
            </w:r>
          </w:p>
        </w:tc>
        <w:tc>
          <w:tcPr>
            <w:tcW w:type="dxa" w:w="1082"/>
            <w:tcBorders/>
            <w:tcMar>
              <w:start w:w="0" w:type="dxa"/>
              <w:end w:w="0" w:type="dxa"/>
            </w:tcMar>
          </w:tcPr>
          <w:p>
            <w:pPr>
              <w:autoSpaceDN w:val="0"/>
              <w:autoSpaceDE w:val="0"/>
              <w:widowControl/>
              <w:spacing w:line="242" w:lineRule="exact" w:before="16" w:after="0"/>
              <w:ind w:left="148" w:right="0" w:firstLine="0"/>
              <w:jc w:val="left"/>
            </w:pPr>
            <w:r>
              <w:rPr>
                <w:rFonts w:ascii="TimesNewRomanPSMT" w:hAnsi="TimesNewRomanPSMT" w:eastAsia="TimesNewRomanPSMT"/>
                <w:b w:val="0"/>
                <w:i w:val="0"/>
                <w:color w:val="000000"/>
                <w:sz w:val="18"/>
                <w:u w:val="none"/>
              </w:rPr>
              <w:t>3.15</w:t>
            </w:r>
          </w:p>
        </w:tc>
      </w:tr>
      <w:tr>
        <w:trPr>
          <w:trHeight w:hRule="atLeast"/>
        </w:trPr>
        <w:tc>
          <w:tcPr>
            <w:tcW w:type="dxa" w:w="1996"/>
            <w:tcBorders/>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2060"/>
            <w:tcBorders/>
            <w:tcMar>
              <w:start w:w="0" w:type="dxa"/>
              <w:end w:w="0" w:type="dxa"/>
            </w:tcMar>
          </w:tcPr>
          <w:p>
            <w:pPr>
              <w:autoSpaceDN w:val="0"/>
              <w:autoSpaceDE w:val="0"/>
              <w:widowControl/>
              <w:spacing w:line="242" w:lineRule="exact" w:before="38" w:after="0"/>
              <w:ind w:left="158" w:right="0" w:firstLine="0"/>
              <w:jc w:val="left"/>
            </w:pPr>
            <w:r>
              <w:rPr>
                <w:rFonts w:ascii="TimesNewRomanPSMT" w:hAnsi="TimesNewRomanPSMT" w:eastAsia="TimesNewRomanPSMT"/>
                <w:b w:val="0"/>
                <w:i w:val="0"/>
                <w:color w:val="000000"/>
                <w:sz w:val="18"/>
                <w:u w:val="none"/>
              </w:rPr>
              <w:t>Valtec Viëtnamees</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158" w:after="0"/>
              <w:ind w:left="168" w:right="0" w:firstLine="0"/>
              <w:jc w:val="left"/>
            </w:pPr>
            <w:r>
              <w:rPr>
                <w:rFonts w:ascii="TimesNewRomanPSMT" w:hAnsi="TimesNewRomanPSMT" w:eastAsia="TimesNewRomanPSMT"/>
                <w:b w:val="0"/>
                <w:i w:val="0"/>
                <w:color w:val="000000"/>
                <w:sz w:val="18"/>
                <w:u w:val="none"/>
              </w:rPr>
              <w:t>3.07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158" w:after="0"/>
              <w:ind w:left="88" w:right="0" w:firstLine="0"/>
              <w:jc w:val="left"/>
            </w:pPr>
            <w:r>
              <w:rPr>
                <w:rFonts w:ascii="TimesNewRomanPSMT" w:hAnsi="TimesNewRomanPSMT" w:eastAsia="TimesNewRomanPSMT"/>
                <w:b w:val="0"/>
                <w:i w:val="0"/>
                <w:color w:val="000000"/>
                <w:sz w:val="18"/>
                <w:u w:val="none"/>
              </w:rPr>
              <w:t>3,34</w:t>
            </w: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4.04</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3,95</w:t>
            </w:r>
          </w:p>
        </w:tc>
      </w:tr>
      <w:tr>
        <w:trPr>
          <w:trHeight w:hRule="atLeast"/>
        </w:trPr>
        <w:tc>
          <w:tcPr>
            <w:tcW w:type="dxa" w:w="1996"/>
            <w:tcBorders/>
            <w:tcMar>
              <w:start w:w="0" w:type="dxa"/>
              <w:end w:w="0" w:type="dxa"/>
            </w:tcMar>
          </w:tcPr>
          <w:p>
            <w:pPr>
              <w:autoSpaceDN w:val="0"/>
              <w:autoSpaceDE w:val="0"/>
              <w:widowControl/>
              <w:spacing w:line="242" w:lineRule="exact" w:before="0" w:after="0"/>
              <w:ind w:left="84" w:right="0" w:firstLine="0"/>
              <w:jc w:val="left"/>
            </w:pPr>
            <w:r>
              <w:rPr>
                <w:rFonts w:ascii="TimesNewRomanPSMT" w:hAnsi="TimesNewRomanPSMT" w:eastAsia="TimesNewRomanPSMT"/>
                <w:b w:val="0"/>
                <w:i w:val="0"/>
                <w:color w:val="000000"/>
                <w:sz w:val="18"/>
                <w:u w:val="none"/>
              </w:rPr>
              <w:t>v2</w:t>
            </w:r>
          </w:p>
        </w:tc>
        <w:tc>
          <w:tcPr>
            <w:tcW w:type="dxa" w:w="2060"/>
            <w:tcBorders/>
            <w:tcMar>
              <w:start w:w="0" w:type="dxa"/>
              <w:end w:w="0" w:type="dxa"/>
            </w:tcMar>
          </w:tcPr>
          <w:p>
            <w:pPr>
              <w:autoSpaceDN w:val="0"/>
              <w:autoSpaceDE w:val="0"/>
              <w:widowControl/>
              <w:spacing w:line="242" w:lineRule="exact" w:before="0" w:after="0"/>
              <w:ind w:left="158" w:right="0" w:firstLine="0"/>
              <w:jc w:val="left"/>
            </w:pPr>
            <w:r>
              <w:rPr>
                <w:rFonts w:ascii="TimesNewRomanPSMT" w:hAnsi="TimesNewRomanPSMT" w:eastAsia="TimesNewRomanPSMT"/>
                <w:b w:val="0"/>
                <w:i w:val="0"/>
                <w:color w:val="000000"/>
                <w:sz w:val="18"/>
                <w:u w:val="none"/>
              </w:rPr>
              <w:t>TTS_ver2.wav</w:t>
            </w:r>
          </w:p>
        </w:tc>
        <w:tc>
          <w:tcPr>
            <w:tcW w:type="dxa" w:w="1504"/>
            <w:vMerge/>
            <w:tcBorders/>
          </w:tcPr>
          <w:p/>
        </w:tc>
        <w:tc>
          <w:tcPr>
            <w:tcW w:type="dxa" w:w="1504"/>
            <w:vMerge/>
            <w:tcBorders/>
          </w:tcPr>
          <w:p/>
        </w:tc>
        <w:tc>
          <w:tcPr>
            <w:tcW w:type="dxa" w:w="1504"/>
            <w:vMerge/>
            <w:tcBorders/>
          </w:tcPr>
          <w:p/>
        </w:tc>
        <w:tc>
          <w:tcPr>
            <w:tcW w:type="dxa" w:w="1504"/>
            <w:vMerge/>
            <w:tcBorders/>
          </w:tcPr>
          <w:p/>
        </w:tc>
      </w:tr>
      <w:tr>
        <w:trPr>
          <w:trHeight w:hRule="atLeast"/>
        </w:trPr>
        <w:tc>
          <w:tcPr>
            <w:tcW w:type="dxa" w:w="1996"/>
            <w:tcBorders/>
            <w:tcMar>
              <w:start w:w="0" w:type="dxa"/>
              <w:end w:w="0" w:type="dxa"/>
            </w:tcMar>
          </w:tcPr>
          <w:p>
            <w:pPr>
              <w:autoSpaceDN w:val="0"/>
              <w:autoSpaceDE w:val="0"/>
              <w:widowControl/>
              <w:spacing w:line="242" w:lineRule="exact" w:before="18" w:after="0"/>
              <w:ind w:left="84" w:right="0" w:firstLine="0"/>
              <w:jc w:val="left"/>
            </w:pPr>
            <w:r>
              <w:rPr>
                <w:rFonts w:ascii="TimesNewRomanPSMT" w:hAnsi="TimesNewRomanPSMT" w:eastAsia="TimesNewRomanPSMT"/>
                <w:b w:val="0"/>
                <w:i w:val="0"/>
                <w:color w:val="000000"/>
                <w:sz w:val="18"/>
                <w:u w:val="none"/>
              </w:rPr>
              <w:t>Viëtnamese TTS</w:t>
            </w: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42" w:after="0"/>
              <w:ind w:left="158" w:right="0" w:firstLine="0"/>
              <w:jc w:val="left"/>
            </w:pPr>
            <w:r>
              <w:rPr>
                <w:rFonts w:ascii="TimesNewRomanPSMT" w:hAnsi="TimesNewRomanPSMT" w:eastAsia="TimesNewRomanPSMT"/>
                <w:b w:val="0"/>
                <w:i w:val="0"/>
                <w:color w:val="000000"/>
                <w:sz w:val="18"/>
                <w:u w:val="none"/>
              </w:rPr>
              <w:t>ViëtnameesTTS.wav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42" w:after="0"/>
              <w:ind w:left="168" w:right="0" w:firstLine="0"/>
              <w:jc w:val="left"/>
            </w:pPr>
            <w:r>
              <w:rPr>
                <w:rFonts w:ascii="TimesNewRomanPSMT" w:hAnsi="TimesNewRomanPSMT" w:eastAsia="TimesNewRomanPSMT"/>
                <w:b w:val="0"/>
                <w:i w:val="0"/>
                <w:color w:val="000000"/>
                <w:sz w:val="18"/>
                <w:u w:val="none"/>
              </w:rPr>
              <w:t>2.07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42" w:after="0"/>
              <w:ind w:left="88" w:right="0" w:firstLine="0"/>
              <w:jc w:val="left"/>
            </w:pPr>
            <w:r>
              <w:rPr>
                <w:rFonts w:ascii="TimesNewRomanPSMT" w:hAnsi="TimesNewRomanPSMT" w:eastAsia="TimesNewRomanPSMT"/>
                <w:b w:val="0"/>
                <w:i w:val="0"/>
                <w:color w:val="000000"/>
                <w:sz w:val="18"/>
                <w:u w:val="none"/>
              </w:rPr>
              <w:t>2,75</w:t>
            </w:r>
          </w:p>
        </w:tc>
        <w:tc>
          <w:tcPr>
            <w:tcW w:type="dxa" w:w="1020"/>
            <w:tcBorders/>
            <w:tcMar>
              <w:start w:w="0" w:type="dxa"/>
              <w:end w:w="0" w:type="dxa"/>
            </w:tcMar>
          </w:tcPr>
          <w:p>
            <w:pPr>
              <w:autoSpaceDN w:val="0"/>
              <w:autoSpaceDE w:val="0"/>
              <w:widowControl/>
              <w:spacing w:line="242" w:lineRule="exact" w:before="18" w:after="0"/>
              <w:ind w:left="88" w:right="0" w:firstLine="0"/>
              <w:jc w:val="left"/>
            </w:pPr>
            <w:r>
              <w:rPr>
                <w:rFonts w:ascii="TimesNewRomanPSMT" w:hAnsi="TimesNewRomanPSMT" w:eastAsia="TimesNewRomanPSMT"/>
                <w:b w:val="0"/>
                <w:i w:val="0"/>
                <w:color w:val="000000"/>
                <w:sz w:val="18"/>
                <w:u w:val="none"/>
              </w:rPr>
              <w:t>2,86</w:t>
            </w:r>
          </w:p>
        </w:tc>
        <w:tc>
          <w:tcPr>
            <w:tcW w:type="dxa" w:w="1082"/>
            <w:tcBorders/>
            <w:tcMar>
              <w:start w:w="0" w:type="dxa"/>
              <w:end w:w="0" w:type="dxa"/>
            </w:tcMar>
          </w:tcPr>
          <w:p>
            <w:pPr>
              <w:autoSpaceDN w:val="0"/>
              <w:autoSpaceDE w:val="0"/>
              <w:widowControl/>
              <w:spacing w:line="242" w:lineRule="exact" w:before="18" w:after="0"/>
              <w:ind w:left="148" w:right="0" w:firstLine="0"/>
              <w:jc w:val="left"/>
            </w:pPr>
            <w:r>
              <w:rPr>
                <w:rFonts w:ascii="TimesNewRomanPSMT" w:hAnsi="TimesNewRomanPSMT" w:eastAsia="TimesNewRomanPSMT"/>
                <w:b w:val="0"/>
                <w:i w:val="0"/>
                <w:color w:val="000000"/>
                <w:sz w:val="18"/>
                <w:u w:val="none"/>
              </w:rPr>
              <w:t>2,73</w:t>
            </w: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38" w:after="0"/>
              <w:ind w:left="84" w:right="0" w:firstLine="0"/>
              <w:jc w:val="left"/>
            </w:pPr>
            <w:r>
              <w:rPr>
                <w:rFonts w:ascii="TimesNewRomanPSMT" w:hAnsi="TimesNewRomanPSMT" w:eastAsia="TimesNewRomanPSMT"/>
                <w:b w:val="0"/>
                <w:i w:val="0"/>
                <w:color w:val="000000"/>
                <w:sz w:val="18"/>
                <w:u w:val="none"/>
              </w:rPr>
              <w:t>Valtec Viëtnamese 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38" w:after="0"/>
              <w:ind w:left="88" w:right="0" w:firstLine="0"/>
              <w:jc w:val="left"/>
            </w:pPr>
            <w:r>
              <w:rPr>
                <w:rFonts w:ascii="TimesNewRomanPSMT" w:hAnsi="TimesNewRomanPSMT" w:eastAsia="TimesNewRomanPSMT"/>
                <w:b w:val="0"/>
                <w:i w:val="0"/>
                <w:color w:val="000000"/>
                <w:sz w:val="18"/>
                <w:u w:val="none"/>
              </w:rPr>
              <w:t>4.16</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38" w:after="0"/>
              <w:ind w:left="148" w:right="0" w:firstLine="0"/>
              <w:jc w:val="left"/>
            </w:pPr>
            <w:r>
              <w:rPr>
                <w:rFonts w:ascii="TimesNewRomanPSMT" w:hAnsi="TimesNewRomanPSMT" w:eastAsia="TimesNewRomanPSMT"/>
                <w:b w:val="0"/>
                <w:i w:val="0"/>
                <w:color w:val="000000"/>
                <w:sz w:val="18"/>
                <w:u w:val="none"/>
              </w:rPr>
              <w:t>4.21</w:t>
            </w:r>
          </w:p>
        </w:tc>
      </w:tr>
      <w:tr>
        <w:trPr>
          <w:trHeight w:hRule="atLeast"/>
        </w:trPr>
        <w:tc>
          <w:tcPr>
            <w:tcW w:type="dxa" w:w="1504"/>
            <w:vMerge/>
            <w:tcBorders/>
          </w:tcPr>
          <w:p/>
        </w:tc>
        <w:tc>
          <w:tcPr>
            <w:tcW w:type="dxa" w:w="2060"/>
            <w:vMerge w:val="restart"/>
            <w:tcBorders/>
            <w:tcMar>
              <w:start w:w="0" w:type="dxa"/>
              <w:end w:w="0" w:type="dxa"/>
            </w:tcMar>
            <w:tcMar>
              <w:start w:w="0" w:type="dxa"/>
              <w:end w:w="0" w:type="dxa"/>
            </w:tcMar>
          </w:tcPr>
          <w:p>
            <w:pPr>
              <w:autoSpaceDN w:val="0"/>
              <w:autoSpaceDE w:val="0"/>
              <w:widowControl/>
              <w:spacing w:line="242" w:lineRule="exact" w:before="22" w:after="0"/>
              <w:ind w:left="0" w:right="0" w:firstLine="0"/>
              <w:jc w:val="center"/>
            </w:pPr>
            <w:r>
              <w:rPr>
                <w:rFonts w:ascii="TimesNewRomanPSMT" w:hAnsi="TimesNewRomanPSMT" w:eastAsia="TimesNewRomanPSMT"/>
                <w:b w:val="0"/>
                <w:i w:val="0"/>
                <w:color w:val="000000"/>
                <w:sz w:val="18"/>
                <w:u w:val="none"/>
              </w:rPr>
              <w:t>Valtec_Viëtnamese.wav</w:t>
            </w:r>
          </w:p>
        </w:tc>
        <w:tc>
          <w:tcPr>
            <w:tcW w:type="dxa" w:w="1160"/>
            <w:vMerge w:val="restart"/>
            <w:tcBorders/>
            <w:tcMar>
              <w:start w:w="0" w:type="dxa"/>
              <w:end w:w="0" w:type="dxa"/>
            </w:tcMar>
            <w:tcMar>
              <w:start w:w="0" w:type="dxa"/>
              <w:end w:w="0" w:type="dxa"/>
            </w:tcMar>
          </w:tcPr>
          <w:p>
            <w:pPr>
              <w:autoSpaceDN w:val="0"/>
              <w:autoSpaceDE w:val="0"/>
              <w:widowControl/>
              <w:spacing w:line="242" w:lineRule="exact" w:before="22" w:after="0"/>
              <w:ind w:left="168" w:right="0" w:firstLine="0"/>
              <w:jc w:val="left"/>
            </w:pPr>
            <w:r>
              <w:rPr>
                <w:rFonts w:ascii="TimesNewRomanPSMT" w:hAnsi="TimesNewRomanPSMT" w:eastAsia="TimesNewRomanPSMT"/>
                <w:b w:val="0"/>
                <w:i w:val="0"/>
                <w:color w:val="000000"/>
                <w:sz w:val="18"/>
                <w:u w:val="none"/>
              </w:rPr>
              <w:t>3,37</w:t>
            </w:r>
          </w:p>
        </w:tc>
        <w:tc>
          <w:tcPr>
            <w:tcW w:type="dxa" w:w="900"/>
            <w:vMerge w:val="restart"/>
            <w:tcBorders/>
            <w:tcMar>
              <w:start w:w="0" w:type="dxa"/>
              <w:end w:w="0" w:type="dxa"/>
            </w:tcMar>
            <w:tcMar>
              <w:start w:w="0" w:type="dxa"/>
              <w:end w:w="0" w:type="dxa"/>
            </w:tcMar>
          </w:tcPr>
          <w:p>
            <w:pPr>
              <w:autoSpaceDN w:val="0"/>
              <w:autoSpaceDE w:val="0"/>
              <w:widowControl/>
              <w:spacing w:line="242" w:lineRule="exact" w:before="22" w:after="0"/>
              <w:ind w:left="88" w:right="0" w:firstLine="0"/>
              <w:jc w:val="left"/>
            </w:pPr>
            <w:r>
              <w:rPr>
                <w:rFonts w:ascii="TimesNewRomanPSMT" w:hAnsi="TimesNewRomanPSMT" w:eastAsia="TimesNewRomanPSMT"/>
                <w:b w:val="0"/>
                <w:i w:val="0"/>
                <w:color w:val="000000"/>
                <w:sz w:val="18"/>
                <w:u w:val="none"/>
              </w:rPr>
              <w:t>3,58</w:t>
            </w:r>
          </w:p>
        </w:tc>
        <w:tc>
          <w:tcPr>
            <w:tcW w:type="dxa" w:w="1504"/>
            <w:vMerge/>
            <w:tcBorders/>
          </w:tcPr>
          <w:p/>
        </w:tc>
        <w:tc>
          <w:tcPr>
            <w:tcW w:type="dxa" w:w="1504"/>
            <w:vMerge/>
            <w:tcBorders/>
          </w:tcPr>
          <w:p/>
        </w:tc>
      </w:tr>
      <w:tr>
        <w:trPr>
          <w:trHeight w:hRule="atLeast"/>
        </w:trPr>
        <w:tc>
          <w:tcPr>
            <w:tcW w:type="dxa" w:w="1996"/>
            <w:vMerge w:val="restart"/>
            <w:tcBorders/>
            <w:tcMar>
              <w:start w:w="0" w:type="dxa"/>
              <w:end w:w="0" w:type="dxa"/>
            </w:tcMar>
            <w:tcMar>
              <w:start w:w="0" w:type="dxa"/>
              <w:end w:w="0" w:type="dxa"/>
            </w:tcMar>
          </w:tcPr>
          <w:p>
            <w:pPr>
              <w:autoSpaceDN w:val="0"/>
              <w:autoSpaceDE w:val="0"/>
              <w:widowControl/>
              <w:spacing w:line="242" w:lineRule="exact" w:before="48" w:after="0"/>
              <w:ind w:left="84" w:right="0" w:firstLine="0"/>
              <w:jc w:val="left"/>
            </w:pPr>
            <w:r>
              <w:rPr>
                <w:rFonts w:ascii="TimesNewRomanPSMT" w:hAnsi="TimesNewRomanPSMT" w:eastAsia="TimesNewRomanPSMT"/>
                <w:b w:val="0"/>
                <w:i w:val="0"/>
                <w:color w:val="000000"/>
                <w:sz w:val="18"/>
                <w:u w:val="none"/>
              </w:rPr>
              <w:t>VietTTS</w:t>
            </w:r>
          </w:p>
        </w:tc>
        <w:tc>
          <w:tcPr>
            <w:tcW w:type="dxa" w:w="1504"/>
            <w:vMerge/>
            <w:tcBorders/>
          </w:tcPr>
          <w:p/>
        </w:tc>
        <w:tc>
          <w:tcPr>
            <w:tcW w:type="dxa" w:w="1504"/>
            <w:vMerge/>
            <w:tcBorders/>
          </w:tcPr>
          <w:p/>
        </w:tc>
        <w:tc>
          <w:tcPr>
            <w:tcW w:type="dxa" w:w="1504"/>
            <w:vMerge/>
            <w:tcBorders/>
          </w:tcPr>
          <w:p/>
        </w:tc>
        <w:tc>
          <w:tcPr>
            <w:tcW w:type="dxa" w:w="1020"/>
            <w:vMerge w:val="restart"/>
            <w:tcBorders/>
            <w:tcMar>
              <w:start w:w="0" w:type="dxa"/>
              <w:end w:w="0" w:type="dxa"/>
            </w:tcMar>
            <w:tcMar>
              <w:start w:w="0" w:type="dxa"/>
              <w:end w:w="0" w:type="dxa"/>
            </w:tcMar>
          </w:tcPr>
          <w:p>
            <w:pPr>
              <w:autoSpaceDN w:val="0"/>
              <w:autoSpaceDE w:val="0"/>
              <w:widowControl/>
              <w:spacing w:line="242" w:lineRule="exact" w:before="48" w:after="0"/>
              <w:ind w:left="88" w:right="0" w:firstLine="0"/>
              <w:jc w:val="left"/>
            </w:pPr>
            <w:r>
              <w:rPr>
                <w:rFonts w:ascii="TimesNewRomanPSMT" w:hAnsi="TimesNewRomanPSMT" w:eastAsia="TimesNewRomanPSMT"/>
                <w:b w:val="0"/>
                <w:i w:val="0"/>
                <w:color w:val="000000"/>
                <w:sz w:val="18"/>
                <w:u w:val="none"/>
              </w:rPr>
              <w:t>4.15</w:t>
            </w:r>
          </w:p>
        </w:tc>
        <w:tc>
          <w:tcPr>
            <w:tcW w:type="dxa" w:w="1082"/>
            <w:vMerge w:val="restart"/>
            <w:tcBorders/>
            <w:tcMar>
              <w:start w:w="0" w:type="dxa"/>
              <w:end w:w="0" w:type="dxa"/>
            </w:tcMar>
            <w:tcMar>
              <w:start w:w="0" w:type="dxa"/>
              <w:end w:w="0" w:type="dxa"/>
            </w:tcMar>
          </w:tcPr>
          <w:p>
            <w:pPr>
              <w:autoSpaceDN w:val="0"/>
              <w:autoSpaceDE w:val="0"/>
              <w:widowControl/>
              <w:spacing w:line="242" w:lineRule="exact" w:before="48" w:after="0"/>
              <w:ind w:left="148" w:right="0" w:firstLine="0"/>
              <w:jc w:val="left"/>
            </w:pPr>
            <w:r>
              <w:rPr>
                <w:rFonts w:ascii="TimesNewRomanPSMT" w:hAnsi="TimesNewRomanPSMT" w:eastAsia="TimesNewRomanPSMT"/>
                <w:b w:val="0"/>
                <w:i w:val="0"/>
                <w:color w:val="000000"/>
                <w:sz w:val="18"/>
                <w:u w:val="none"/>
              </w:rPr>
              <w:t>3,64</w:t>
            </w:r>
          </w:p>
        </w:tc>
      </w:tr>
      <w:tr>
        <w:trPr>
          <w:trHeight w:hRule="atLeast"/>
        </w:trPr>
        <w:tc>
          <w:tcPr>
            <w:tcW w:type="dxa" w:w="1504"/>
            <w:vMerge/>
            <w:tcBorders/>
          </w:tcPr>
          <w:p/>
        </w:tc>
        <w:tc>
          <w:tcPr>
            <w:tcW w:type="dxa" w:w="2060"/>
            <w:tcBorders/>
            <w:tcMar>
              <w:start w:w="0" w:type="dxa"/>
              <w:end w:w="0" w:type="dxa"/>
            </w:tcMar>
          </w:tcPr>
          <w:p>
            <w:pPr>
              <w:autoSpaceDN w:val="0"/>
              <w:autoSpaceDE w:val="0"/>
              <w:widowControl/>
              <w:spacing w:line="242" w:lineRule="exact" w:before="8" w:after="0"/>
              <w:ind w:left="158" w:right="0" w:firstLine="0"/>
              <w:jc w:val="left"/>
            </w:pPr>
            <w:r>
              <w:rPr>
                <w:rFonts w:ascii="TimesNewRomanPSMT" w:hAnsi="TimesNewRomanPSMT" w:eastAsia="TimesNewRomanPSMT"/>
                <w:b w:val="0"/>
                <w:i w:val="0"/>
                <w:color w:val="000000"/>
                <w:sz w:val="18"/>
                <w:u w:val="none"/>
              </w:rPr>
              <w:t>VietTTS.wav</w:t>
            </w:r>
          </w:p>
        </w:tc>
        <w:tc>
          <w:tcPr>
            <w:tcW w:type="dxa" w:w="1160"/>
            <w:tcBorders/>
            <w:tcMar>
              <w:start w:w="0" w:type="dxa"/>
              <w:end w:w="0" w:type="dxa"/>
            </w:tcMar>
          </w:tcPr>
          <w:p>
            <w:pPr>
              <w:autoSpaceDN w:val="0"/>
              <w:autoSpaceDE w:val="0"/>
              <w:widowControl/>
              <w:spacing w:line="242" w:lineRule="exact" w:before="8" w:after="0"/>
              <w:ind w:left="168" w:right="0" w:firstLine="0"/>
              <w:jc w:val="left"/>
            </w:pPr>
            <w:r>
              <w:rPr>
                <w:rFonts w:ascii="TimesNewRomanPSMT" w:hAnsi="TimesNewRomanPSMT" w:eastAsia="TimesNewRomanPSMT"/>
                <w:b w:val="0"/>
                <w:i w:val="0"/>
                <w:color w:val="000000"/>
                <w:sz w:val="18"/>
                <w:u w:val="none"/>
              </w:rPr>
              <w:t>3.05</w:t>
            </w:r>
          </w:p>
        </w:tc>
        <w:tc>
          <w:tcPr>
            <w:tcW w:type="dxa" w:w="900"/>
            <w:tcBorders/>
            <w:tcMar>
              <w:start w:w="0" w:type="dxa"/>
              <w:end w:w="0" w:type="dxa"/>
            </w:tcMar>
          </w:tcPr>
          <w:p>
            <w:pPr>
              <w:autoSpaceDN w:val="0"/>
              <w:autoSpaceDE w:val="0"/>
              <w:widowControl/>
              <w:spacing w:line="242" w:lineRule="exact" w:before="8" w:after="0"/>
              <w:ind w:left="88" w:right="0" w:firstLine="0"/>
              <w:jc w:val="left"/>
            </w:pPr>
            <w:r>
              <w:rPr>
                <w:rFonts w:ascii="TimesNewRomanPSMT" w:hAnsi="TimesNewRomanPSMT" w:eastAsia="TimesNewRomanPSMT"/>
                <w:b w:val="0"/>
                <w:i w:val="0"/>
                <w:color w:val="000000"/>
                <w:sz w:val="18"/>
                <w:u w:val="none"/>
              </w:rPr>
              <w:t>3,25</w:t>
            </w:r>
          </w:p>
        </w:tc>
        <w:tc>
          <w:tcPr>
            <w:tcW w:type="dxa" w:w="1504"/>
            <w:vMerge/>
            <w:tcBorders/>
          </w:tcPr>
          <w:p/>
        </w:tc>
        <w:tc>
          <w:tcPr>
            <w:tcW w:type="dxa" w:w="1504"/>
            <w:vMerge/>
            <w:tcBorders/>
          </w:tcPr>
          <w:p/>
        </w:tc>
      </w:tr>
      <w:tr>
        <w:trPr>
          <w:trHeight w:hRule="atLeast"/>
        </w:trPr>
        <w:tc>
          <w:tcPr>
            <w:tcW w:type="dxa" w:w="1996"/>
            <w:tcBorders>
              <w:bottom w:sz="11.520000457763672" w:val="single" w:color="#000000"/>
            </w:tcBorders>
            <w:tcMar>
              <w:start w:w="0" w:type="dxa"/>
              <w:end w:w="0" w:type="dxa"/>
            </w:tcMar>
          </w:tcPr>
          <w:p>
            <w:pPr>
              <w:autoSpaceDN w:val="0"/>
              <w:autoSpaceDE w:val="0"/>
              <w:widowControl/>
              <w:spacing w:line="242" w:lineRule="exact" w:before="30" w:after="0"/>
              <w:ind w:left="84" w:right="0" w:firstLine="0"/>
              <w:jc w:val="left"/>
            </w:pPr>
            <w:r>
              <w:rPr>
                <w:rFonts w:ascii="TimesNewRomanPSMT" w:hAnsi="TimesNewRomanPSMT" w:eastAsia="TimesNewRomanPSMT"/>
                <w:b w:val="0"/>
                <w:i w:val="0"/>
                <w:color w:val="000000"/>
                <w:sz w:val="18"/>
                <w:u w:val="none"/>
              </w:rPr>
              <w:t>VieNeu-TTS</w:t>
            </w:r>
          </w:p>
        </w:tc>
        <w:tc>
          <w:tcPr>
            <w:tcW w:type="dxa" w:w="2060"/>
            <w:tcBorders>
              <w:bottom w:sz="11.520000457763672" w:val="single" w:color="#000000"/>
            </w:tcBorders>
            <w:tcMar>
              <w:start w:w="0" w:type="dxa"/>
              <w:end w:w="0" w:type="dxa"/>
            </w:tcMar>
          </w:tcPr>
          <w:p>
            <w:pPr>
              <w:autoSpaceDN w:val="0"/>
              <w:autoSpaceDE w:val="0"/>
              <w:widowControl/>
              <w:spacing w:line="242" w:lineRule="exact" w:before="54" w:after="0"/>
              <w:ind w:left="158" w:right="0" w:firstLine="0"/>
              <w:jc w:val="left"/>
            </w:pPr>
            <w:r>
              <w:rPr>
                <w:rFonts w:ascii="TimesNewRomanPSMT" w:hAnsi="TimesNewRomanPSMT" w:eastAsia="TimesNewRomanPSMT"/>
                <w:b w:val="0"/>
                <w:i w:val="0"/>
                <w:color w:val="000000"/>
                <w:sz w:val="18"/>
                <w:u w:val="none"/>
              </w:rPr>
              <w:t>VietNeu_TTS.wav</w:t>
            </w:r>
          </w:p>
        </w:tc>
        <w:tc>
          <w:tcPr>
            <w:tcW w:type="dxa" w:w="1160"/>
            <w:tcBorders>
              <w:bottom w:sz="11.520000457763672" w:val="single" w:color="#000000"/>
            </w:tcBorders>
            <w:tcMar>
              <w:start w:w="0" w:type="dxa"/>
              <w:end w:w="0" w:type="dxa"/>
            </w:tcMar>
          </w:tcPr>
          <w:p>
            <w:pPr>
              <w:autoSpaceDN w:val="0"/>
              <w:autoSpaceDE w:val="0"/>
              <w:widowControl/>
              <w:spacing w:line="242" w:lineRule="exact" w:before="54" w:after="0"/>
              <w:ind w:left="168" w:right="0" w:firstLine="0"/>
              <w:jc w:val="left"/>
            </w:pPr>
            <w:r>
              <w:rPr>
                <w:rFonts w:ascii="TimesNewRomanPSMT" w:hAnsi="TimesNewRomanPSMT" w:eastAsia="TimesNewRomanPSMT"/>
                <w:b w:val="0"/>
                <w:i w:val="0"/>
                <w:color w:val="000000"/>
                <w:sz w:val="18"/>
                <w:u w:val="none"/>
              </w:rPr>
              <w:t>3.31</w:t>
            </w:r>
          </w:p>
        </w:tc>
        <w:tc>
          <w:tcPr>
            <w:tcW w:type="dxa" w:w="900"/>
            <w:tcBorders>
              <w:bottom w:sz="11.520000457763672" w:val="single" w:color="#000000"/>
            </w:tcBorders>
            <w:tcMar>
              <w:start w:w="0" w:type="dxa"/>
              <w:end w:w="0" w:type="dxa"/>
            </w:tcMar>
          </w:tcPr>
          <w:p>
            <w:pPr>
              <w:autoSpaceDN w:val="0"/>
              <w:autoSpaceDE w:val="0"/>
              <w:widowControl/>
              <w:spacing w:line="242" w:lineRule="exact" w:before="54" w:after="0"/>
              <w:ind w:left="88" w:right="0" w:firstLine="0"/>
              <w:jc w:val="left"/>
            </w:pPr>
            <w:r>
              <w:rPr>
                <w:rFonts w:ascii="TimesNewRomanPSMT" w:hAnsi="TimesNewRomanPSMT" w:eastAsia="TimesNewRomanPSMT"/>
                <w:b w:val="0"/>
                <w:i w:val="0"/>
                <w:color w:val="000000"/>
                <w:sz w:val="18"/>
                <w:u w:val="none"/>
              </w:rPr>
              <w:t>3,54</w:t>
            </w:r>
          </w:p>
        </w:tc>
        <w:tc>
          <w:tcPr>
            <w:tcW w:type="dxa" w:w="1020"/>
            <w:tcBorders>
              <w:bottom w:sz="11.520000457763672" w:val="single" w:color="#000000"/>
            </w:tcBorders>
            <w:tcMar>
              <w:start w:w="0" w:type="dxa"/>
              <w:end w:w="0" w:type="dxa"/>
            </w:tcMar>
          </w:tcPr>
          <w:p>
            <w:pPr>
              <w:autoSpaceDN w:val="0"/>
              <w:autoSpaceDE w:val="0"/>
              <w:widowControl/>
              <w:spacing w:line="242" w:lineRule="exact" w:before="30" w:after="0"/>
              <w:ind w:left="88" w:right="0" w:firstLine="0"/>
              <w:jc w:val="left"/>
            </w:pPr>
            <w:r>
              <w:rPr>
                <w:rFonts w:ascii="TimesNewRomanPSMT" w:hAnsi="TimesNewRomanPSMT" w:eastAsia="TimesNewRomanPSMT"/>
                <w:b w:val="0"/>
                <w:i w:val="0"/>
                <w:color w:val="000000"/>
                <w:sz w:val="18"/>
                <w:u w:val="none"/>
              </w:rPr>
              <w:t>4.16</w:t>
            </w:r>
          </w:p>
        </w:tc>
        <w:tc>
          <w:tcPr>
            <w:tcW w:type="dxa" w:w="1082"/>
            <w:tcBorders>
              <w:bottom w:sz="11.520000457763672" w:val="single" w:color="#000000"/>
            </w:tcBorders>
            <w:tcMar>
              <w:start w:w="0" w:type="dxa"/>
              <w:end w:w="0" w:type="dxa"/>
            </w:tcMar>
          </w:tcPr>
          <w:p>
            <w:pPr>
              <w:autoSpaceDN w:val="0"/>
              <w:autoSpaceDE w:val="0"/>
              <w:widowControl/>
              <w:spacing w:line="242" w:lineRule="exact" w:before="30" w:after="0"/>
              <w:ind w:left="148" w:right="0" w:firstLine="0"/>
              <w:jc w:val="left"/>
            </w:pPr>
            <w:r>
              <w:rPr>
                <w:rFonts w:ascii="TimesNewRomanPSMT" w:hAnsi="TimesNewRomanPSMT" w:eastAsia="TimesNewRomanPSMT"/>
                <w:b w:val="0"/>
                <w:i w:val="0"/>
                <w:color w:val="000000"/>
                <w:sz w:val="18"/>
                <w:u w:val="none"/>
              </w:rPr>
              <w:t>3,68</w:t>
            </w:r>
          </w:p>
        </w:tc>
      </w:tr>
    </w:tbl>
    <w:p>
      <w:pPr>
        <w:autoSpaceDN w:val="0"/>
        <w:autoSpaceDE w:val="0"/>
        <w:widowControl/>
        <w:spacing w:line="14" w:lineRule="exact" w:before="0" w:after="0"/>
        <w:ind w:left="0" w:right="0"/>
      </w:pP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10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228"/>
        <w:jc w:val="left"/>
      </w:pPr>
      <w:r>
        <w:rPr>
          <w:rFonts w:ascii="TimesNewRomanPSMT" w:hAnsi="TimesNewRomanPSMT" w:eastAsia="TimesNewRomanPSMT"/>
          <w:b w:val="0"/>
          <w:i w:val="0"/>
          <w:color w:val="000000"/>
          <w:sz w:val="20"/>
          <w:u w:val="none"/>
        </w:rPr>
        <w:t>Die DNSMOS-evalueringsresultate toon merkbare verskille in gesintetiseerde Viëtnamese spraakkwaliteit tussen die geëvalueerde TTS-stelsels. Oor die algemeen behaal die voorgestelde viXTTS-gebaseerde stemkloningstelsel, verteenwoordig deur giong_clone.wav, die hoogste OVRL MOS-telling van 3.38 en die hoogste SIG MOS-telling van 3.60. Hierdie resultate dui aan dat die voorgestelde stelsel spraak produseer met sterk algehele perseptuele kwaliteit en duidelike spraakseine. Die hoë BAK MOS-telling van 4.14 dui ook daarop dat die gegenereerde klank baie min agtergrondgeraas bevat. Daarom demonstreer die viXTTS-gebaseerde model sterk prestasie in beide spraakhelderheid en geraasonderdrukking.</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Onder die vergelykende stelsels presteer Valtec_Vietnamese.wav ook mededingend, met 'n OVRL MOS van 3.37 en 'n SIG MOS van 3.58, wat baie na aan die voorgestelde stelsel is.  Boonop behaal hierdie model die hoogste P808 MOS-telling van 4.21, wat daarop dui dat luisteraars die algehele klankgehalte daarvan gunstig kan waarneem. Die voorgestelde giong_clone.wav presteer egter steeds effens beter as dit in die twee hoof DNSMOS-aanwysers, OVRL en SIG.  Dit dui daarop dat die voorgestelde model 'n klein maar meetbare voordeel het in terme van algehele spraakkwaliteit en seinhelderheid.</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Die VietNeu_TTS.wav-model behaal ook sterk resultate, met 'n OVRL MOS van 3.31, SIG MOS van 3.54, BAK MOS van 4.16 en P808 MOS van 3.68. Hierdie tellings plaas dit in die hoëpresterende groep, veral in terme van agtergrondgeraasonderdrukking. Sy BAK-telling is van die hoogste in die vergelyking, wat wys dat die gegenereerde klank skoon en stabiel is. Alhoewel sy algehele en seinkwaliteittellings effens laer is as dié van giong_clone.wav en Valtec_Vietnamese.wav, bly dit 'n betroubare model vir Viëtnamese spraaksintese.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middelpresterende groep sluit Valtec Vietnamese TTS_ver2.wav, VietTTS.wav en Piper_Vietnamese_TTS in.  Hierdie modelle verkry OVRL MOS-tellings wat wissel van 3.00 tot 3.07, wat aanvaarbare maar nie uitstaande gesintetiseerde spraakkwaliteit aandui nie.  Hul SIG MOS-tellings, wat wissel van 3,25 tot 3,40, dui daarop dat die spraaksein redelik duidelik is, maar steeds minder natuurlik of minder gedetailleerd as die toppresterende stelsels. Veral, VietTTS.wav behaal 'n hoë BAK MOS-telling van 4.15, wat wys dat die klankuitset relatief skoon is.  Die laer OVRL- en SIG-tellings dui egter daarop dat agtergrondskoonheid alleen nie voldoende is om hoë algehele spraakkwaliteit te verseker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4" w:firstLine="228"/>
        <w:jc w:val="left"/>
      </w:pPr>
      <w:r>
        <w:rPr>
          <w:rFonts w:ascii="TimesNewRomanPSMT" w:hAnsi="TimesNewRomanPSMT" w:eastAsia="TimesNewRomanPSMT"/>
          <w:b w:val="0"/>
          <w:i w:val="0"/>
          <w:color w:val="000000"/>
          <w:sz w:val="20"/>
          <w:u w:val="none"/>
        </w:rPr>
        <w:t>Die stelsel wat die laagste presteer is VietnameseTTS.wav, wat 'n OVRL MOS van 2.07, SIG MOS van 2.75, BAK MOS van 2.86 en P808 MOS van 2.73 verkry. Hierdie tellings is aansienlik laer as dié van die ander modelle. Die lae OVRL- en SIG-tellings dui veral daarop dat die gesintetiseerde spraak merkbare artefakte, verminderde natuurlikheid of onduidelike uitspraak kan bevat. Die lae BAK-telling dui ook aan dat die oudio meer agtergrondinterferensie of geraas kan insluit in vergelyking met die ander stelsels.</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'n Algemene neiging kan oor die sterker modelle waargeneem word: die meeste stelsels behaal hoë BAK MOS-tellings bo 4.0, wat beteken dat moderne Viëtnamese TTS-modelle oor die algemeen effektief is om skoon oudio met beperkte agtergrondgeraas te produseer.  Verskille in OVRL- en SIG-tellings toon egter dat skoon klank nie altyd nie</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11</w:t>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08" w:firstLine="0"/>
        <w:jc w:val="left"/>
      </w:pPr>
      <w:r>
        <w:rPr>
          <w:rFonts w:ascii="TimesNewRomanPSMT" w:hAnsi="TimesNewRomanPSMT" w:eastAsia="TimesNewRomanPSMT"/>
          <w:b w:val="0"/>
          <w:i w:val="0"/>
          <w:color w:val="000000"/>
          <w:sz w:val="20"/>
          <w:u w:val="none"/>
        </w:rPr>
        <w:t>waarborg natuurlike en verstaanbare spraak. Spraaknatuurlikheid, duidelikheid en seinkwaliteit bly belangrike faktore om die beste presterende modelle te onderskei.</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56" w:firstLine="228"/>
        <w:jc w:val="left"/>
      </w:pPr>
      <w:r>
        <w:rPr>
          <w:rFonts w:ascii="TimesNewRomanPSMT" w:hAnsi="TimesNewRomanPSMT" w:eastAsia="TimesNewRomanPSMT"/>
          <w:b w:val="0"/>
          <w:i w:val="0"/>
          <w:color w:val="000000"/>
          <w:sz w:val="20"/>
          <w:u w:val="none"/>
        </w:rPr>
        <w:t>Samevattend, die voorgestelde viXTTS-gebaseerde stemkloningmodel giong_clone.wav behaal die beste algehele prestasie in terme van OVRL en SIG MOS, wat dit die sterkste stelsel in hierdie vergelyking maak. Valtec_Vietnamese.wav en VietNeu_TTS.wav demonstreer ook mededingende prestasie en kan as sterk alternatiewe beskou word.  Intussen toon VietnameseTTS.wav die swakste resultate en kan verdere optimalisering vereis om spraaknatuurlikheid, helderheid en agtergrondgeraasbeheer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34" w:after="0"/>
        <w:ind w:left="1054" w:right="1008" w:firstLine="0"/>
        <w:jc w:val="left"/>
      </w:pPr>
      <w:r>
        <w:rPr>
          <w:rFonts w:ascii="TimesNewRomanPS" w:hAnsi="TimesNewRomanPS" w:eastAsia="TimesNewRomanPS"/>
          <w:b/>
          <w:i w:val="0"/>
          <w:color w:val="000000"/>
          <w:sz w:val="20"/>
          <w:u w:val="none"/>
        </w:rPr>
        <w:t xml:space="preserve">Intydse prestasie- en vertragingsanalise: </w:t>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 w:hAnsi="TimesNewRomanPS" w:eastAsia="TimesNewRomanPS"/>
          <w:b/>
          <w:i w:val="0"/>
          <w:color w:val="000000"/>
          <w:sz w:val="20"/>
          <w:u w:val="none"/>
        </w:rPr>
      </w:r>
      <w:r>
        <w:rPr>
          <w:rFonts w:ascii="TimesNewRomanPSMT" w:hAnsi="TimesNewRomanPSMT" w:eastAsia="TimesNewRomanPSMT"/>
          <w:b w:val="0"/>
          <w:i w:val="0"/>
          <w:color w:val="000000"/>
          <w:sz w:val="20"/>
          <w:u w:val="none"/>
        </w:rPr>
        <w:t xml:space="preserve">:  </w:t>
      </w:r>
      <w:r>
        <w:rPr>
          <w:rFonts w:ascii="TimesNewRomanPSMT" w:hAnsi="TimesNewRomanPSMT" w:eastAsia="TimesNewRomanPSMT"/>
          <w:b w:val="0"/>
          <w:i w:val="0"/>
          <w:color w:val="000000"/>
          <w:sz w:val="20"/>
          <w:u w:val="none"/>
        </w:rPr>
        <w:t>Die mees kritieke prestasiemaatstaf van die huidige prototipe is die einde-tot-einde sintese latency.  Vir 'n tipiese invoerteks van 750 karakters (gelykstaande aan ongeveer 50 sekondes se gegenereerde oudio teen 'n standaard Viëtnamees-sprekende tempo van ongeveer 900 karakters per minuut), benodig die stelsel ongeveer 2 minute en 50 sekondes (170 sekondes) om die finale WAV-lêer te produseer.  Dit lewer 'n Real-Time Factor (RTF) van ongeveer 3.4, ver bo die intydse drempel van 1.0.  Die latensie is egter nie vas nie;  dit wissel meetbaar na gelang van die linguistiese kompleksiteit van die invoerteks.  Twee faktore oorheers die bykomende verwerkingsbokoste:</w:t>
        <w:b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SymbolMT" w:hAnsi="SymbolMT" w:eastAsia="SymbolMT"/>
          <w:b w:val="0"/>
          <w:i w:val="0"/>
          <w:color w:val="000000"/>
          <w:sz w:val="20"/>
          <w:u w:val="none"/>
        </w:rPr>
        <w:t></w:t>
      </w:r>
      <w:r>
        <w:rPr>
          <w:rFonts w:ascii="TimesNewRomanPSMT" w:hAnsi="TimesNewRomanPSMT" w:eastAsia="TimesNewRomanPSMT"/>
          <w:b w:val="0"/>
          <w:i w:val="0"/>
          <w:color w:val="000000"/>
          <w:sz w:val="20"/>
          <w:u w:val="none"/>
        </w:rPr>
        <w:t>Emosie-etikette. Elke emosionele grens dwing 'n nuwe sintese-stuk af met 'n aparte viXTTS-afleidingsoproep, wat lei tot veelvuldige konteksskakelaar en modellaai bokoste. Meer merkers verhoog die aantal stukke en die kumulatiewe pouse-invoegtyd.</w:t>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6" w:lineRule="exact" w:before="0" w:after="0"/>
        <w:ind w:left="1642" w:right="1152" w:firstLine="0"/>
        <w:jc w:val="left"/>
      </w:pPr>
      <w:r>
        <w:rPr>
          <w:rFonts w:ascii="SymbolMT" w:hAnsi="SymbolMT" w:eastAsia="SymbolMT"/>
          <w:b w:val="0"/>
          <w:i w:val="0"/>
          <w:color w:val="000000"/>
          <w:sz w:val="20"/>
          <w:u w:val="none"/>
        </w:rPr>
        <w:t></w:t>
      </w:r>
      <w:r>
        <w:rPr>
          <w:color w:val="000000"/>
          <w:u w:val="none"/>
        </w:rPr>
        <w:t xml:space="preserve"> </w:t>
      </w:r>
      <w:r>
        <w:rPr>
          <w:rFonts w:ascii="TimesNewRomanPSMT" w:hAnsi="TimesNewRomanPSMT" w:eastAsia="TimesNewRomanPSMT"/>
          <w:b w:val="0"/>
          <w:i w:val="0"/>
          <w:color w:val="000000"/>
          <w:sz w:val="20"/>
          <w:u w:val="none"/>
        </w:rPr>
        <w:t> Engelse woorde en nie-Viëtnamese segmente. Dit vereis ekstra grafeem-tot-foneemstappe binne die teksnormaliseringslaag (Do, 2026), en kan aandagfoute veroorsaak wat die dekodeerder dwing om herbelyning te probeer, wat bydra tot die totale looptyd.</w:t>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r>
        <w:rPr>
          <w:color w:val="00000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waargenome latensie spruit uit die loop van die volle VITS-pyplyn op die SVE sonder om die beskikbare RTX GPU te gebruik. Die SVE-enigste PyTorch-bou kan nie die massiewe parallelisme van die GPU se tensorkerne ontgin nie, wat matriksvermenigvuldigings en konvolusies laat om opeenvolgend bereken te word. Ten spyte hiervan, bly die stelsel aanvaarbaar vir nabylyn-inhoudskeppingstake soos podcast-oorklanking, opvoedkundige vertelling of stemposgenerering – toepassings waar 'n paar minute se leweringstyd geduld word in ruil vir hoëgehalte, emosioneel ekspressiewe uitset.</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228"/>
        <w:jc w:val="left"/>
      </w:pPr>
      <w:r>
        <w:rPr>
          <w:rFonts w:ascii="TimesNewRomanPSMT" w:hAnsi="TimesNewRomanPSMT" w:eastAsia="TimesNewRomanPSMT"/>
          <w:b w:val="0"/>
          <w:i w:val="0"/>
          <w:color w:val="000000"/>
          <w:sz w:val="20"/>
          <w:u w:val="none"/>
        </w:rPr>
        <w:t xml:space="preserve">Die masjien is krities toegerus met 'n NVIDIA GeForce RTX GPU, wat ten volle in staat is om die afleiding te versnel. Om na 'n CUDA-geaktiveerde PyTorch-installasie te skuif, sal die RTF tot ver onder 0.1 verminder (gebaseer op tipiese GPU </w:t>
        <w:br/>
        <w:t>maatstawwe vir VITS), wat intydse stroomsintese moontlik maak. Daarbenewens kan modelkwantisering na FP16 of INT8, en oorskakeling na geoptimaliseerde inferensie-enjins soos ONNX Runtime met OpenVINO, latensie verder halveer terwyl die hoë ooreenkomste en MOS-tellings behoue ​​bly.</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b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tabs>
          <w:tab w:pos="1620" w:val="left"/>
        </w:tabs>
        <w:autoSpaceDE w:val="0"/>
        <w:widowControl/>
        <w:spacing w:line="332" w:lineRule="exact" w:before="338" w:after="0"/>
        <w:ind w:left="1054" w:right="0" w:firstLine="0"/>
        <w:jc w:val="left"/>
      </w:pPr>
      <w:r>
        <w:rPr>
          <w:rFonts w:ascii="TimesNewRomanPS" w:hAnsi="TimesNewRomanPS" w:eastAsia="TimesNewRomanPS"/>
          <w:b/>
          <w:i w:val="0"/>
          <w:color w:val="000000"/>
          <w:sz w:val="24"/>
          <w:u w:val="none"/>
        </w:rPr>
        <w:t>6 Gevolgtrekking</w:t>
      </w:r>
      <w:r>
        <w:rPr>
          <w:rFonts w:ascii="TimesNewRomanPS" w:hAnsi="TimesNewRomanPS" w:eastAsia="TimesNewRomanPS"/>
          <w:b/>
          <w:i w:val="0"/>
          <w:color w:val="000000"/>
          <w:sz w:val="24"/>
          <w:u w:val="none"/>
        </w:rPr>
      </w:r>
    </w:p>
    <w:p>
      <w:pPr>
        <w:autoSpaceDN w:val="0"/>
        <w:autoSpaceDE w:val="0"/>
        <w:widowControl/>
        <w:spacing w:line="240" w:lineRule="exact" w:before="230" w:after="0"/>
        <w:ind w:left="1008" w:right="1008" w:firstLine="0"/>
        <w:jc w:val="center"/>
      </w:pPr>
      <w:r>
        <w:rPr>
          <w:rFonts w:ascii="TimesNewRomanPSMT" w:hAnsi="TimesNewRomanPSMT" w:eastAsia="TimesNewRomanPSMT"/>
          <w:b w:val="0"/>
          <w:i w:val="0"/>
          <w:color w:val="000000"/>
          <w:sz w:val="20"/>
          <w:u w:val="none"/>
        </w:rPr>
        <w:t>In hierdie navorsing is 'n Viëtnamese teks-na-spraak-stelsel wat op kunsmatige intelligensie en diep leer gebaseer is, deeglik ontwerp, geïmplementeer en geëvalueer. Die stelsel</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12 F. Skrywer en S. Skrywer</w:t>
      </w:r>
      <w:r>
        <w:rPr>
          <w:rFonts w:ascii="TimesNewRomanPSMT" w:hAnsi="TimesNewRomanPSMT" w:eastAsia="TimesNewRomanPSMT"/>
          <w:b w:val="0"/>
          <w:i w:val="0"/>
          <w:color w:val="000000"/>
          <w:sz w:val="18"/>
          <w:u w:val="none"/>
        </w:rPr>
      </w:r>
    </w:p>
    <w:p>
      <w:pPr>
        <w:autoSpaceDN w:val="0"/>
        <w:autoSpaceDE w:val="0"/>
        <w:widowControl/>
        <w:spacing w:line="240" w:lineRule="exact" w:before="330" w:after="0"/>
        <w:ind w:left="1054" w:right="1054" w:firstLine="0"/>
        <w:jc w:val="left"/>
      </w:pPr>
      <w:r>
        <w:rPr>
          <w:rFonts w:ascii="TimesNewRomanPSMT" w:hAnsi="TimesNewRomanPSMT" w:eastAsia="TimesNewRomanPSMT"/>
          <w:b w:val="0"/>
          <w:i w:val="0"/>
          <w:color w:val="000000"/>
          <w:sz w:val="20"/>
          <w:u w:val="none"/>
        </w:rPr>
        <w:t>ontgin moderne modelle soos Tacotron, FastSpeech en VITS om teks outomaties in natuurlike spraakseine om te skakel, en leer die unieke fonetiese en prosodiese kenmerke van Viëtnamees. Eksperimentele uitkomste toon dat die voorgestelde model duidelike, natuurlike spraak met toepaslike intonasie genereer en stabiele prestasie oor verskeie toestande en kontekste handhaaf.</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240" w:lineRule="exact" w:before="28" w:after="0"/>
        <w:ind w:left="1054" w:right="1008" w:firstLine="0"/>
        <w:jc w:val="left"/>
      </w:pPr>
      <w:r>
        <w:rPr>
          <w:rFonts w:ascii="TimesNewRomanPSMT" w:hAnsi="TimesNewRomanPSMT" w:eastAsia="TimesNewRomanPSMT"/>
          <w:b w:val="0"/>
          <w:i w:val="0"/>
          <w:color w:val="000000"/>
          <w:sz w:val="20"/>
          <w:u w:val="none"/>
        </w:rPr>
        <w:t>Die resultate wat behaal is, bevestig nie net die doeltreffendheid van diep leer in Viëtnamese spraaksintese nie, maar beklemtoon ook die stelsel se breë toepaslikheid in die praktyk, veral in virtuele assistente, onderwys, outomatiese oproepsentrums en hulpmiddels vir gesiggestremdes.  Toekomstige werk kan fokus op die uitbreiding en verryking van die spraakdatastel, die verbetering van plaaslike natuurlikheid, die optimalisering van modelle vir hulpbronbeperkte toestelle, en die integrasie van die stelsel in werklike wêreldplatforms om uitvoerbaarheid en bruikbaarheid te verbeter.</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color w:val="000000"/>
          <w:u w:val="none"/>
        </w:rPr>
        <w:t xml:space="preserve"> </w:t>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r>
        <w:rPr>
          <w:rFonts w:ascii="TimesNewRomanPSMT" w:hAnsi="TimesNewRomanPSMT" w:eastAsia="TimesNewRomanPSMT"/>
          <w:b w:val="0"/>
          <w:i w:val="0"/>
          <w:color w:val="000000"/>
          <w:sz w:val="20"/>
          <w:u w:val="none"/>
        </w:rPr>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u w:val="none"/>
        </w:rPr>
        <w:t>Verwysings</w:t>
      </w:r>
    </w:p>
    <w:p>
      <w:pPr>
        <w:autoSpaceDN w:val="0"/>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u w:val="none"/>
        </w:rPr>
        <w:t xml:space="preserve">1.  Ardila,  R.,  Branson,  M.,  Davis,  K.,  Henretty,  M.,  Kohler,  M.,  Meyer,  J.,  Morais,  R.,  Saunders,  L.,  Tyers,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M.,&amp;Weber,  G.(2020).  Common  Voice:  A  massively- multilingual speech corpus. arXiv. https://arxiv.org/abs/1912.06670 </w:t>
        <w:br/>
        <w:t xml:space="preserve">2.  Baevski,  A.,  Zhou,  Y.,  Mohamed,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A.,&amp;Auli,  M.(2020).  wav2vec  2.0:  A  framework  for  self-supervised learning of speech representations. arXiv. https://arxiv.org/abs/2006.11477 3.  Casanova,  E.,  Weber,  J.,  Shulby,  C.  N.,  Junior,  A.  S.,  Gölge,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E.,&amp;Ponti,  M.  A.(2022).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YourTTS: Na nul-skoot multi-luidspreker TTS en zero-shot stem omskakeling vir almal. arXiv. __HOU_0__ </w:t>
        <w:br/>
        <w:t xml:space="preserve">4.  Chen,  M.,  Baevski,  A.,  Likhomanenko,  T.,  Kahn,  J.,  Pratap,  V.,  Conneau,  A.,  Collobert,  R., Synnaeve, G., &amp; Auli, M. (2022). WavLM: Large-scale self-supervised pre-training for  full stack speech processing. arXiv. https://arxiv.org/abs/2110.13900 </w:t>
        <w:br/>
        <w:t xml:space="preserve">5.  Devlin,  J.,  Chang,  M.  W.,  Lee,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K.,&amp;Toutanova,  K.(2019).  BERT:  Pre-training  of  deep  bidirectional  transformers  for  language  understanding.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https://arxiv.org/abs/1810.04805 </w:t>
        <w:br/>
        <w:t>6.  Do,  N.(2026).  VietNormalizer:  An  open-source,  dependency-free  Python  library  for  Vietnamese  text  normalization  in  TTS  and  NLP  applications.  arXiv.</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https://arxiv.org/abs/2603.04145 </w:t>
        <w:br/>
        <w:t xml:space="preserve">7.  Goodfellow,  I.,  Pouget-Abadie,  J.,  Mirza,  M.,  Xu,  B.,  Warde-Farley,  D.,  Ozair,  S.,  Courville,  A.,  &amp;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t xml:space="preserve">&amp; </w:t>
      </w:r>
      <w:r>
        <w:rPr>
          <w:color w:val="000000"/>
          <w:u w:val="none"/>
        </w:rPr>
        <w:t xml:space="preserve"> </w:t>
      </w:r>
      <w:r>
        <w:rPr>
          <w:rFonts w:ascii="TimesNewRomanPSMT" w:hAnsi="TimesNewRomanPSMT" w:eastAsia="TimesNewRomanPSMT"/>
          <w:b w:val="0"/>
          <w:i w:val="0"/>
          <w:color w:val="000000"/>
          <w:sz w:val="18"/>
          <w:u w:val="none"/>
        </w:rPr>
        <w:t xml:space="preserve"> Bengio,  Y.  (2014).  Generative  adversarial  networks.  arXiv.</w:t>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144"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https://arxiv.org/abs/1406.2661 </w:t>
        <w:br/>
        <w:t xml:space="preserve">8.  Hsu,  W.  N.,  Bolte,  B.,  Tsai,  Y.  H.  H.,  Lakhotia,  K.,  Salakhutdinov,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R.,&amp;Mohamed,  A.</w:t>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color w:val="000000"/>
          <w:u w:val="none"/>
        </w:rPr>
        <w:t xml:space="preserve"> </w:t>
      </w:r>
      <w:r>
        <w:rPr>
          <w:rFonts w:ascii="TimesNewRomanPSMT" w:hAnsi="TimesNewRomanPSMT" w:eastAsia="TimesNewRomanPSMT"/>
          <w:b w:val="0"/>
          <w:i w:val="0"/>
          <w:color w:val="000000"/>
          <w:sz w:val="18"/>
          <w:u w:val="none"/>
        </w:rPr>
        <w:t xml:space="preserve"> (2021). HuBERT: Self-toesig spraakvoorstelling leer deur gemaskerde voorspelling van verborge eenhede. arXiv. __HOU_0__ </w:t>
        <w:br/>
        <w:t xml:space="preserve">9.  Ito,  K.,&amp;Johnson,  L.(2017).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 The  LJ  Speech  Dataset.  https://keithito.com/LJ-Speech- Dataset/ </w:t>
        <w:br/>
        <w:t xml:space="preserve">10.  Jia,  Y., Zhang, Y.,  Weiss, R.  J., Wang,  Q., Shen,  J.,  Ren, X., Chen, Z., Nguyen,  P., Pang,  R.,  Moreno,  I.  L.,&amp;Wu,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Y.(2018).  Transfer  learning  from  speaker  verification  to  multispeaker  text-to-speech  synthesis.  Advances  in  Neural  Information  Processing  Systems,   31.</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394" w:right="1296" w:firstLine="0"/>
        <w:jc w:val="left"/>
      </w:pPr>
      <w:r>
        <w:rPr>
          <w:rFonts w:ascii="TimesNewRomanPSMT" w:hAnsi="TimesNewRomanPSMT" w:eastAsia="TimesNewRomanPSMT"/>
          <w:b w:val="0"/>
          <w:i w:val="0"/>
          <w:color w:val="000000"/>
          <w:sz w:val="18"/>
          <w:u w:val="none"/>
        </w:rPr>
        <w:t>https://proceedings.neurips.cc/paper/2018/hash/6832a7b24bc06775d02b7406880b93fc-Abstract.html</w:t>
      </w:r>
      <w:r>
        <w:rPr>
          <w:rFonts w:ascii="TimesNewRomanPSMT" w:hAnsi="TimesNewRomanPSMT" w:eastAsia="TimesNewRomanPSMT"/>
          <w:b w:val="0"/>
          <w:i w:val="0"/>
          <w:color w:val="000000"/>
          <w:sz w:val="18"/>
          <w:u w:val="none"/>
        </w:rPr>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2" w:lineRule="exact" w:before="0" w:after="0"/>
        <w:ind w:left="4328" w:right="0" w:firstLine="0"/>
        <w:jc w:val="left"/>
      </w:pPr>
      <w:r>
        <w:rPr>
          <w:rFonts w:ascii="TimesNewRomanPSMT" w:hAnsi="TimesNewRomanPSMT" w:eastAsia="TimesNewRomanPSMT"/>
          <w:b w:val="0"/>
          <w:i w:val="0"/>
          <w:color w:val="000000"/>
          <w:sz w:val="18"/>
          <w:u w:val="none"/>
        </w:rPr>
        <w:t>Bydrae Titel (verkort indien te lank) 13</w:t>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u w:val="none"/>
        </w:rPr>
        <w:t xml:space="preserve">11. Kalchbrenner, N., Elsen, E., Simonyan, K., Noury, S., Casagrande, N., Lockhart, E.,  Stimberg, F., van den Oord, A., Dieleman, S., &amp; Kavukcuoglu, K. (2018). Efficient neural  audio synthesis. arXiv. https://arxiv.org/abs/1802.08435 </w:t>
        <w:br/>
        <w:t xml:space="preserve">12. Kameoka, H., Kaneko, T., Tanaka,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K.,&amp;Hojo, N.(2018). StarGAN-VC: Non-parallel  many-to-many voice conversion using star generative adversarial networks.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https://arxiv.org/abs/1806.02169 </w:t>
        <w:br/>
        <w:t xml:space="preserve">13. Kim, J., Kong,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J.,&amp;Son, J.(2021). Conditional variational autoencoder with adversarial  learning for end-to-end text-to-speech. arXiv. https://arxiv.org/abs/2106.06103 </w:t>
        <w:br/>
        <w:t xml:space="preserve">14. Kingma,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P.,&amp;Welling, M.(2014). Auto-encoding variational bayes.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https://arxiv.org/abs/1312.6114 </w:t>
        <w:br/>
        <w:t xml:space="preserve">15.  Kong,  J.,  Kim,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J.,&amp;Bae,  J.(2020).  HiFi-GAN:  Generative  adversarial  networks  for   efficient and high fidelity speech synthesis. arXiv. https://arxiv.org/abs/2010.05646 16.  Mishra,  P.,  Choudhury,  J.  A.,  Kho,  E.,  Basu,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B.,&amp;Nandi,  A.(2023).  Speaker   identification,  differentiation  and  verification  using  deep  learning  for  human  machine   interface. In 2023 Photonics &amp; Electromagnetics Research Symposium (PIERS) (pp. 861–870). IEEE. https://ieeexplore.ieee.org/document/10221344 </w:t>
        <w:br/>
        <w:t xml:space="preserve">17.  Nguyen,  D.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Q.,&amp;Tuan,  N.  D.(2020).  PhoBERT:  Pre-trained  language  models  for   Vietnamese. arXiv. https://arxiv.org/abs/2003.00744 </w:t>
        <w:br/>
        <w:t>18.  Nguyen,  N.  (2023).   VietTTS:   Vietnamese  text  to   speech  library.  GitHub.</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https://github.com/NTT123/vietTTS </w:t>
        <w:br/>
        <w:t xml:space="preserve">19.  Oord,  A.  van  den,  Dieleman,  S.,  Zen,  H.,  Simonyan,  K.,  Vinyals,  O.,  Graves,  A.,   Kalchbrenner,  N.,  Senior,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A.,&amp;Kavukcuoglu,  K.(2016).  WaveNet:  A  generative  model   for raw audio. arXiv. https://arxiv.org/abs/1609.03499 </w:t>
        <w:br/>
        <w:t xml:space="preserve">20.  Ping, W., Peng, K., Gibiansky, A., Arik, S. O., Kannan, A., Narang, S., Raiman, J., Miller,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J.,&amp;Sengupta,  S.(2017).  Deep  Voice  3:  Scaling  text-to-speech  with  convolutional   sequence learning. arXiv. https://arxiv.org/abs/1710.07654 </w:t>
        <w:br/>
        <w:t xml:space="preserve">21.  Prenger,  R.,  Valle,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 xml:space="preserve">R.,&amp;Catanzaro,  B.(2019).  WaveGlow:  A  flow-based  generative   network for speech synthesis. arXiv. https://arxiv.org/abs/1811.00002 </w:t>
        <w:br/>
        <w:t xml:space="preserve">22.  Qian,  K.,  Zhang,  Y.,  Chang,  S.,  Yang,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X.,&amp;Hasegawa-Johnson,  M.(2019).  AutoVC:   Zero-shot  voice  style  transfer   with   only  autoencoder  loss.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https://arxiv.org/abs/1905.05879 </w:t>
        <w:br/>
        <w:t xml:space="preserve">23. Radford, A., Kim, J. W., Xu, T., Brockman, G., McLeavey,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C.,&amp;Sutskever, I.(2022).</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Robuuste spraakherkenning deur grootskaalse swak toesig.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https://arxiv.org/abs/2212.04356 </w:t>
        <w:br/>
        <w:t xml:space="preserve">24. Reddy, C. K., Gopal,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V.,&amp;Cutler, R.(2021). DNSMOS: A non-intrusive perceptual  objective speech quality metric to evaluate noise suppressors. In ICASSP 2021–2021 IEEE  International Conference on Acoustics, Speech and Signal Processing(pp. 6493–6497).</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IEEE. __HOU_0__ </w:t>
        <w:br/>
        <w:t xml:space="preserve">25. Ren, Y., Ruan, Y., Chen, X., Qin, T., Zhao, S., &amp; Liu, T. (2019). FastSpeech: Fast, robust  and controllable text to speech. arXiv. https://arxiv.org/abs/1905.09263 </w:t>
        <w:br/>
        <w:t xml:space="preserve">26. Ren, Y., Hu, C., Tan, X., Qin, T., Zhao, S., Zhao, Z., &amp; Liu, T. (2020). FastSpeech 2: Fast  and high-quality end-to-end text to speech. arXiv. https://arxiv.org/abs/2006.04558 27. Shen, J., Pang, R., Weiss, R. J., Schuster, M., Jaitly, N., Yang, Z., Chen, Z., Zhang, Y.,  Wang, Y., Skerry-Ryan, R. J., Saurous, R. A., Agiomyrgiannakis, </w:t>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color w:val="000000"/>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Y.,&amp;Wu, Y.(2018).</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Natuurlike TTS-sintese deur WaveNet te kondisioneer op mel-spektrogramvoorspellings. arXiv.</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u w:val="none"/>
        </w:rPr>
        <w:t xml:space="preserve">https://arxiv.org/abs/1712.05884 </w:t>
        <w:br/>
        <w:t>28. Thinh, L.(2024). viXTTS: A Vietnamese voice cloning text-to-speech model. GitHub.</w:t>
      </w:r>
      <w:r>
        <w:rPr>
          <w:color w:val="000000"/>
          <w:u w:val="none"/>
        </w:rPr>
        <w:b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https://github.com/thinhlpg/vixtts-demo</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732" w:val="left"/>
        </w:tabs>
        <w:autoSpaceDE w:val="0"/>
        <w:widowControl/>
        <w:spacing w:line="242" w:lineRule="exact" w:before="0" w:after="0"/>
        <w:ind w:left="1054" w:right="0" w:firstLine="0"/>
        <w:jc w:val="left"/>
      </w:pPr>
      <w:r>
        <w:rPr>
          <w:rFonts w:ascii="TimesNewRomanPSMT" w:hAnsi="TimesNewRomanPSMT" w:eastAsia="TimesNewRomanPSMT"/>
          <w:b w:val="0"/>
          <w:i w:val="0"/>
          <w:color w:val="000000"/>
          <w:sz w:val="18"/>
          <w:u w:val="none"/>
        </w:rPr>
        <w:t>14 F. Skrywer en S. Skrywer</w:t>
      </w:r>
      <w:r>
        <w:rPr>
          <w:rFonts w:ascii="TimesNewRomanPSMT" w:hAnsi="TimesNewRomanPSMT" w:eastAsia="TimesNewRomanPSMT"/>
          <w:b w:val="0"/>
          <w:i w:val="0"/>
          <w:color w:val="000000"/>
          <w:sz w:val="18"/>
          <w:u w:val="none"/>
        </w:rPr>
      </w:r>
    </w:p>
    <w:p>
      <w:pPr>
        <w:autoSpaceDN w:val="0"/>
        <w:autoSpaceDE w:val="0"/>
        <w:widowControl/>
        <w:spacing w:line="242" w:lineRule="exact" w:before="306" w:after="0"/>
        <w:ind w:left="0" w:right="0" w:firstLine="0"/>
        <w:jc w:val="center"/>
      </w:pPr>
      <w:r>
        <w:rPr>
          <w:rFonts w:ascii="TimesNewRomanPSMT" w:hAnsi="TimesNewRomanPSMT" w:eastAsia="TimesNewRomanPSMT"/>
          <w:b w:val="0"/>
          <w:i w:val="0"/>
          <w:color w:val="000000"/>
          <w:sz w:val="18"/>
          <w:u w:val="none"/>
        </w:rPr>
        <w:t>29. Vaswani, A., Shazeer, N., Parmar, N., Uszkoreit, J., Jones, L., Gomez, A. N., Kaiser, Ł., &amp;</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Polosukhin, I. (2017). Aandag is al wat jy nodig het. arXiv. __HOU_0__</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30. Vu, T., Nguyen, L. T., &amp;Nguyen, D. Q. (2025). Zero-shot text-to-speech for Vietnamese.</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arXiv. __HOU_0__</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 xml:space="preserve">31. Wan, L., Wang, Q., Papir,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A.,&amp;Moreno, I. L.(2018). Generalized end-to-end loss for</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 verifikasie. In 2018 IEEE Internasionale Konferensie oor akoestiek, spraak en</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Seinverwerking (ICASSP) (pp. 4879–4883).  IEEE.</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https://ieeexplore.ieee.org/abstract/document/8462665</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32. Wang, Y., Skerry-Ryan, R. J., Stanton, D., Wu, Y., Weiss, R. J., Jaitly, N., Yang, Z., Xiao,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Y., Chen, Z., Bengio, S., Le, Q., Agiomyrgiannakis, Y., Clark, R.,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R.A.</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(2017).  Tacotron: Op pad na end-tot-end spraaksintese.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https://arxiv.org/abs/1703.10132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33. Wang, Y., Stanton, D., Zhang, Y., Skerry-Ryan, R. J., Battenberg, E., Shor, J., Xiao, Y.,</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 xml:space="preserve">Jia, Y., Ren, F., </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t>&amp;</w:t>
      </w:r>
      <w:r>
        <w:rPr>
          <w:rFonts w:ascii="TimesNewRomanPSMT" w:hAnsi="TimesNewRomanPSMT" w:eastAsia="TimesNewRomanPSMT"/>
          <w:b w:val="0"/>
          <w:i w:val="0"/>
          <w:color w:val="000000"/>
          <w:sz w:val="18"/>
          <w:u w:val="none"/>
        </w:rPr>
        <w:t>&amp; Saurous, R. A. (2018). Styltekens: stylmodellering sonder toesig,</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beheer en oordrag in end-tot-end spraaksintese.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https://arxiv.org/abs/1803.09017</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34. Yamagishi, J., Veaux, C., &amp;MacDonald, K. (2019). CSTR VCTK Corpus: English multi-</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sprekerskorpus vir CSTR stem kloning toolkit (weergawe 0.92). Universiteit van Edinburgh.</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https://datashare.ed.ac.uk/handle/10283/3443</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35. Zen, H., Dang, V., Clark, R., Zhang, Y., Weiss, R. J., Jia, Y., Chen, Z., &amp;Wu, Y. (2019).</w:t>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LibriTTS: 'n Korpus afgelei van LibriSpeech vir teks-na-spraak.  arXiv.</w:t>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r>
        <w:rPr>
          <w:color w:val="000000"/>
          <w:u w:val="none"/>
        </w:rPr>
        <w:t xml:space="preserve"> </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https://arxiv.org/abs/1904.02882</w:t>
      </w:r>
    </w:p>
    <w:p>
      <w:pPr>
        <w:autoSpaceDN w:val="0"/>
        <w:autoSpaceDE w:val="0"/>
        <w:widowControl/>
        <w:spacing w:line="242" w:lineRule="exact" w:before="0" w:after="0"/>
        <w:ind w:left="0" w:right="0" w:firstLine="0"/>
        <w:jc w:val="center"/>
      </w:pPr>
      <w:r>
        <w:rPr>
          <w:rFonts w:ascii="TimesNewRomanPSMT" w:hAnsi="TimesNewRomanPSMT" w:eastAsia="TimesNewRomanPSMT"/>
          <w:b w:val="0"/>
          <w:i w:val="0"/>
          <w:color w:val="000000"/>
          <w:sz w:val="18"/>
          <w:u w:val="none"/>
        </w:rPr>
        <w:t>36. Le, T. (2024). viVoice: A large-scale multi-speaker Vietnamese speech dataset for text-to-</w:t>
      </w:r>
      <w:r>
        <w:rPr>
          <w:rFonts w:ascii="TimesNewRomanPSMT" w:hAnsi="TimesNewRomanPSMT" w:eastAsia="TimesNewRomanPSMT"/>
          <w:b w:val="0"/>
          <w:i w:val="0"/>
          <w:color w:val="000000"/>
          <w:sz w:val="18"/>
          <w:u w:val="none"/>
        </w:rPr>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u w:val="none"/>
        </w:rPr>
        <w:t>toespraak. Gesig omhels. __HOU_0__</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hakhoa@nctu.edu.v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