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BD32">
      <w:pPr>
        <w:pStyle w:val="40"/>
        <w:spacing w:after="0"/>
      </w:pPr>
      <w:r>
        <w:t>Text Translation System That Preserves Original Format Using Artificial Intelligence</w:t>
      </w:r>
    </w:p>
    <w:p>
      <w:pPr>
        <w:pStyle w:val="40"/>
        <w:spacing w:before="0" w:after="120"/>
      </w:pPr>
      <w:r>
        <w:t>Text Translation System Retains Original Format Using Artificial Intelligence</w:t>
      </w:r>
    </w:p>
    <w:p w14:paraId="06341683">
      <w:pPr>
        <w:pStyle w:val="22"/>
      </w:pPr>
      <w:r>
        <w:t xml:space="preserve">Hà Hoàng-Phúc </w:t>
      </w:r>
      <w:r>
        <w:rPr>
          <w:vertAlign w:val="superscript"/>
        </w:rPr>
        <w:t xml:space="preserve">1 </w:t>
      </w:r>
      <w:r>
        <w:t xml:space="preserve"> and Second Author </w:t>
      </w:r>
      <w:r>
        <w:rPr>
          <w:vertAlign w:val="superscript"/>
        </w:rPr>
        <w:t>2</w:t>
      </w:r>
      <w:r>
        <w:rPr>
          <w:rStyle w:val="44"/>
        </w:rPr>
        <w:t>[1111-2222-3333-4444]</w:t>
      </w:r>
    </w:p>
    <w:p w14:paraId="17504FEC">
      <w:pPr>
        <w:pStyle w:val="21"/>
      </w:pPr>
      <w:r>
        <w:rPr>
          <w:vertAlign w:val="superscript"/>
        </w:rPr>
        <w:t xml:space="preserve">1 </w:t>
      </w:r>
      <w:r>
        <w:t xml:space="preserve"> FACULTY OF INFORMATION TECHNOLOGY, Trường Đại học Nam Cần Thơ, Việt Nam</w:t>
      </w:r>
    </w:p>
    <w:p w14:paraId="7F16CA47">
      <w:pPr>
        <w:pStyle w:val="21"/>
      </w:pPr>
      <w:r>
        <w:rPr>
          <w:vertAlign w:val="superscript"/>
        </w:rPr>
      </w:r>
      <w:r>
        <w:t>2   Springer Heidelberg, Tiergartenstr. 17, 69121 Heidelberg, Germany</w:t>
      </w:r>
      <w:r>
        <w:br w:type="textWrapping"/>
      </w:r>
      <w:r>
        <w:rPr>
          <w:rStyle w:val="25"/>
        </w:rPr>
      </w:r>
      <w:r>
        <w:br/>
      </w:r>
      <w:r>
        <w:t>lncs@springer.com</w:t>
      </w:r>
    </w:p>
    <w:p w14:paraId="285AF2D1">
      <w:pPr>
        <w:pStyle w:val="20"/>
        <w:spacing w:after="0"/>
        <w:ind w:firstLine="0"/>
      </w:pPr>
      <w:r>
        <w:rPr>
          <w:b/>
          <w:bCs/>
        </w:rPr>
        <w:t>Abstract.</w:t>
      </w:r>
      <w:r>
        <w:rPr>
          <w:b/>
          <w:bCs/>
          <w:lang w:val="vi-VN"/>
        </w:rPr>
      </w:r>
      <w:r>
        <w:rPr>
          <w:b/>
          <w:bCs/>
        </w:rPr>
      </w:r>
      <w:r>
        <w:t xml:space="preserve"> Against the backdrop of the rapid development of AI-powered translation systems since 2016, the lack of a systematic review of the technologies, methods, and evaluation standards for preserving document formatting has created a significant gap in this field. This study provides a comprehensive overview of AI-powered text translation systems capable of preserving the original document format through an analysis of 40 research papers published from 2016 to 2025, including both Vietnamese and English sources, using a systematic classification and comparison method across five main groups: commercial products, open-source solutions, datasets, technical approaches, and evaluation methods. The analysis reveals three major technological trends: rule-based translation systems, which are simple but lack flexibility; machine translation neural networks, which offer better context processing but require large amounts of data, and large language models, which currently dominate the market with products like DeepL reaching over one million business users, the Google Translate API, which handles hundreds of millions of calls daily; and Adobe Acrobat AI, which targets the professional segment and primarily uses GPT-4 and specialized models combined with prompt engineering techniques and document structure analysis. |</w:t>
      </w:r>
    </w:p>
    <w:p>
      <w:pPr>
        <w:pStyle w:val="20"/>
        <w:spacing w:after="120" w:before="0"/>
        <w:ind w:firstLine="0"/>
      </w:pPr>
      <w:r>
        <w:rPr>
          <w:b/>
          <w:bCs/>
        </w:rPr>
        <w:t xml:space="preserve">Summary.   </w:t>
      </w:r>
      <w:r>
        <w:rPr>
          <w:b/>
          <w:bCs/>
        </w:rPr>
        <w:t xml:space="preserve">In </w:t>
      </w:r>
      <w:r>
        <w:rPr>
          <w:b/>
          <w:bCs/>
          <w:lang w:val="vi-VN"/>
        </w:rPr>
        <w:t xml:space="preserve">the </w:t>
      </w:r>
      <w:r>
        <w:rPr>
          <w:b/>
          <w:bCs/>
        </w:rPr>
        <w:t>c</w:t>
      </w:r>
      <w:r>
        <w:t>ontext of translation systems using artificial intelligence developing rapidly since 2016, the lack of systematic overview research on technology, methods and standards for evaluating the ability to preserve document formats has created a large gap in this field. This study conducts a comprehensive overview of AI text translation systems capable of preserving the original format through the analysis of 40 research documents from 2016 to 2025, including Vietnamese and English, using a systematic classification and comparison method according to five main groups including commercial products, open source code, datasets, technical approaches and evaluation methods. The analysis results show that three main technology trends include rule-based translation systems with the advantage of simplicity but lack of flexibility, machine translation neural networks with better context processing capabilities but requiring large data, and large language models that dominate today with products such as DeepL reaching more than one million business users, Google Translate API with hundreds of millions of calls per day, and Adobe Acrobat AI locating the professional segment, mainly using GPT-4 and professional models Distinguished from prompt engineering combined with document structure analysis.</w:t>
      </w:r>
    </w:p>
    <w:p w14:paraId="4421FA7E">
      <w:pPr>
        <w:pStyle w:val="34"/>
        <w:rPr>
          <w:lang w:val="vi-VN"/>
        </w:rPr>
        <w:spacing w:after="0"/>
      </w:pPr>
      <w:r>
        <w:rPr>
          <w:b/>
          <w:bCs/>
        </w:rPr>
        <w:t>Keywords:</w:t>
      </w:r>
      <w:r>
        <w:rPr>
          <w:b/>
          <w:bCs/>
          <w:lang w:val="vi-VN"/>
        </w:rPr>
      </w:r>
      <w:r>
        <w:rPr>
          <w:b/>
          <w:bCs/>
        </w:rPr>
        <w:t xml:space="preserve">:  </w:t>
      </w:r>
      <w:r>
        <w:t xml:space="preserve"> neural machine translation, format preservation, PDF processing, DOCX processing, large language models, translation API. |</w:t>
      </w:r>
    </w:p>
    <w:p>
      <w:pPr>
        <w:pStyle w:val="34"/>
        <w:rPr>
          <w:lang w:val="vi-VN"/>
        </w:rPr>
        <w:spacing w:before="0" w:after="120"/>
      </w:pPr>
      <w:r>
        <w:rPr>
          <w:b/>
          <w:bCs/>
        </w:rPr>
        <w:t>Keywords:</w:t>
      </w:r>
      <w:r>
        <w:rPr>
          <w:b/>
          <w:bCs/>
        </w:rPr>
      </w:r>
      <w:r>
        <w:rPr>
          <w:b/>
          <w:bCs/>
          <w:lang w:val="vi-VN"/>
        </w:rPr>
      </w:r>
      <w:r>
        <w:rPr>
          <w:b/>
          <w:bCs/>
        </w:rPr>
      </w:r>
      <w:r>
        <w:t xml:space="preserve"> neural machine translation, format preservation, PDF processing, DOCX processing, large language models, translation API.</w:t>
      </w:r>
    </w:p>
    <w:p w14:paraId="669380F3">
      <w:pPr>
        <w:pStyle w:val="28"/>
        <w:spacing w:after="0"/>
      </w:pPr>
      <w:r>
        <w:t>Introduction</w:t>
      </w:r>
    </w:p>
    <w:p>
      <w:pPr>
        <w:pStyle w:val="28"/>
        <w:spacing w:before="0" w:after="120"/>
      </w:pPr>
      <w:r>
        <w:t>Introduction</w:t>
      </w:r>
    </w:p>
    <w:p w14:paraId="3BE2BE9F">
      <w:pPr>
        <w:pStyle w:val="3"/>
        <w:rPr>
          <w:lang w:val="vi-VN"/>
        </w:rPr>
        <w:spacing w:after="0"/>
      </w:pPr>
      <w:r>
        <w:t>With the rapid development of large language models such as GPT-3, GPT-4, and Claude since 2019, the application of artificial intelligence in the field of translating documents with complex structures has begun to emerge through machine translation systems capable of preserving the original format.</w:t>
      </w:r>
    </w:p>
    <w:p>
      <w:pPr>
        <w:pStyle w:val="3"/>
        <w:rPr>
          <w:lang w:val="vi-VN"/>
        </w:rPr>
        <w:spacing w:before="0" w:after="120"/>
      </w:pPr>
      <w:r>
        <w:t>Along with the strong development of major language models such as GPT-3, GPT-4, and Claude from 2019 onward, the application of artificial intelligence in the field of translating documents with complex structures has begun to emerge through automatic translation systems capable of preserving the original format.</w:t>
      </w:r>
    </w:p>
    <w:p w14:paraId="5ED95BDA">
      <w:pPr>
        <w:pStyle w:val="3"/>
        <w:ind w:firstLine="227"/>
        <w:rPr>
          <w:lang w:val="vi-VN"/>
        </w:rPr>
        <w:spacing w:after="0"/>
      </w:pPr>
      <w:r>
        <w:t>Before delving into a detailed analysis, it is necessary to clarify some key terms and concepts used throughout this study to ensure readers have a consistent understanding. Machine Translation (MT) is the process of using computer software to automatically translate text from a source language to a target language with little or no human intervention, utilizing natural language processing and deep learning techniques to understand meaning and generate appropriate translations (Vaswani et al., 2017). Format Preservation is the ability of a translation system to maintain all presentation elements of the source document after translation, including fonts, font sizes, colors, margins, tables, headings, page numbers, headers, footers, and embedded graphics within the document (Hassan et al., 2020). A Large Language Model (LLM) is a type of artificial intelligence model trained on massive amounts of text data—ranging from billions to trillions of words— capable of understanding complex contexts and generating natural, human-like text, with notable examples including OpenAI’s GPT-4, Anthropic’s Claude, and Google’s Gemini (Sato, 2025).</w:t>
      </w:r>
    </w:p>
    <w:p>
      <w:pPr>
        <w:pStyle w:val="3"/>
        <w:ind w:firstLine="227"/>
        <w:rPr>
          <w:lang w:val="vi-VN"/>
        </w:rPr>
        <w:spacing w:before="0" w:after="120"/>
      </w:pPr>
      <w:r>
        <w:t>Before delving into a detailed analysis, it is necessary to clarify some key terms and concepts used throughout this study to ensure readers have a consistent understanding. Machine Translation (MT) is the process of using computer software to automatically translate text from a source language to a target language with little or no human intervention, utilizing natural language processing and deep learning techniques to understand the semantics and generate appropriate translations (Vaswani et al., 2017). Format Preservation is the ability of a translation system to maintain all presentation elements of the original document after translation, including fonts, font sizes, colors, margins, tables, headings, page numbering, headers, footers, and embedded graphic elements in the document (Hassan et al., 2020). A large language model (LLM) is a type of artificial intelligence model trained on massive amounts of text data—ranging from billions to trillions of words—capable of understanding complex contexts and generating natural text like humans. Typical examples include OpenAI’s GPT-4, Anthropic’s Claude, and Google’s Gemini (Sato, 2025).</w:t>
      </w:r>
    </w:p>
    <w:p w14:paraId="331C5D3B">
      <w:pPr>
        <w:pStyle w:val="28"/>
        <w:spacing w:after="0"/>
      </w:pPr>
      <w:r>
        <w:t>Product Market</w:t>
      </w:r>
    </w:p>
    <w:p>
      <w:pPr>
        <w:pStyle w:val="28"/>
        <w:spacing w:before="0" w:after="120"/>
      </w:pPr>
      <w:r>
        <w:t>Product Market</w:t>
      </w:r>
    </w:p>
    <w:p w14:paraId="62315C86">
      <w:pPr>
        <w:pStyle w:val="3"/>
        <w:spacing w:after="0"/>
      </w:pPr>
      <w:r>
        <w:t>DeepL Document Translation was launched in 2017 by DeepL GmbH, headquartered in Cologne, Germany, marking a significant turning point in the automatic document translation industry when, for the first time, a commercial product committed to fully preserving the original format of DOCX and PDF files after translation (Hassan et al., 2020).</w:t>
      </w:r>
    </w:p>
    <w:p>
      <w:pPr>
        <w:pStyle w:val="3"/>
        <w:spacing w:before="0" w:after="120"/>
      </w:pPr>
      <w:r>
        <w:t>DeepL Document Translation was launched in 2017 by DeepL GmbH, based in Cologne, Germany, marking an important turning point in the automatic document translation industry when, for the first time, a commercial product committed to completely preserving the original format of DOCX and PDF files after translation (Hassan et al., 2020).</w:t>
      </w:r>
    </w:p>
    <w:p w14:paraId="4ABA0A4C">
      <w:pPr>
        <w:rPr>
          <w:lang w:val="vi-VN"/>
        </w:rPr>
        <w:spacing w:after="0"/>
      </w:pPr>
      <w:r>
        <w:t>Following the popularity of DeepL, the Google Cloud Translation API emerged as a more comprehensive solution, handling over 500 million API calls daily worldwide, positioning itself as the translation infrastructure platform for developers and businesses seeking to integrate translation capabilities into their own applications (Hassan et al., 2020). The key differentiator of Google Cloud Translation lies in its integrated ecosystem with other Google services such as Google Docs, Google Drive, and Google Workspace, allowing users to translate documents directly from their familiar work environment without the need for manual format conversion. Technically, Google Cloud Translation employs an optimized three-tier architecture featuring a RESTful API interface and client libraries for Python, Java, Node.js, and many other programming languages (Vaswani et al., 2017).</w:t>
      </w:r>
    </w:p>
    <w:p>
      <w:pPr>
        <w:rPr>
          <w:lang w:val="vi-VN"/>
        </w:rPr>
        <w:spacing w:before="0" w:after="120"/>
      </w:pPr>
      <w:r>
        <w:t>Following the popularity of DeepL, the Google Cloud Translation API emerged as a more comprehensive solution with over 500 million API calls per day globally, positioning itself as a translation infrastructure platform for developers and businesses looking to integrate translation capabilities into their own applications (Hassan et al., 2020). The main difference with Google Cloud Translation lies in its ecosystem of integration with other Google services such as Google Docs, Google Drive, and Google Workspace, allowing users to translate documents directly from familiar work environments without the need for manual format conversion. Technically, Google Cloud Translation employs an optimized three-tier architecture with a RESTful API interface layer and client libraries for Python, Java, Node.js, and many other programming languages (Vaswani et al., 2017).</w:t>
      </w:r>
    </w:p>
    <w:p w14:paraId="5B595140">
      <w:pPr>
        <w:rPr>
          <w:lang w:val="vi-VN"/>
        </w:rPr>
        <w:spacing w:after="0"/>
      </w:pPr>
      <w:r>
        <w:t>Adobe Acrobat AI Translation appears as an integrated feature within the Adobe Acrobat product suite, marking a trend toward integrating AI translation into professional PDF document processing tools rather than offering it as a standalone service (Hassan et al., 2020). What sets Adobe Acrobat AI apart is its approach to processing the original document, in which the system can directly access the internal structure of the PDF file through Adobe’s proprietary APIs, allowing it to preserve complex formatting elements that third-party solutions cannot read. Technologically, Adobe Acrobat AI is built on the Adobe Sensei platform—Adobe’s in-house artificial intelligence system—combined with external translation APIs such as Microsoft Azure Translator and DeepL through an extensible plugin architecture (Park et al., 2021).</w:t>
      </w:r>
    </w:p>
    <w:p>
      <w:pPr>
        <w:rPr>
          <w:lang w:val="vi-VN"/>
        </w:rPr>
        <w:spacing w:before="0" w:after="120"/>
      </w:pPr>
      <w:r>
        <w:t>Adobe Acrobat AI Translation is an integrated feature within the Adobe Acrobat product suite, reflecting the trend of integrating AI translation into professional PDF document processing tools rather than offering it as a standalone service (Hassan et al., 2020). What sets Adobe Acrobat AI apart is its native document processing approach, in which the system has direct access to the internal structure of PDF files through Adobe’s proprietary APIs, enabling the preservation of complex formatting elements that third-party solutions cannot interpret. Technologically, Adobe Acrobat AI is built on the Adobe Sensei platform—Adobe’s internal artificial intelligence system—combined with external translation APIs such as Microsoft Azure Translator and DeepL through an extensible plugin architecture (Park et al., 2021).</w:t>
      </w:r>
    </w:p>
    <w:p w14:paraId="674304B5">
      <w:pPr>
        <w:rPr>
          <w:lang w:val="vi-VN"/>
        </w:rPr>
        <w:spacing w:after="0"/>
      </w:pPr>
      <w:r>
        <w:rPr>
          <w:lang w:val="vi-VN"/>
        </w:rPr>
        <w:t>Translate-toolkit was one of the first open-source projects to appear on GitHub dedicated to processing multi-format translation files, marking the beginning of a movement to share knowledge about multilingual document processing within the developer community (Smith, 2019). The project is released under the GNU GPL v2 license, allowing other developers to use, modify, and redistribute it for free, provided they maintain the license terms. Architecturally, translate-toolkit provides a set of command-line tools and a Python library for converting between translation file formats such as PO, XLIFF, and TMX, as well as document formats such as DOCX, ODT, and HTML. The project focuses on extracting text strings for translation from documents while preserving the entire markup structure and metadata of the source file. The installation process is documented in detail; users are required to install Python 3.8 or later and the necessary dependencies via pip, after which they can immediately use the command-line tools to process documents in batches (Park et al., 2021).</w:t>
      </w:r>
    </w:p>
    <w:p>
      <w:pPr>
        <w:rPr>
          <w:lang w:val="vi-VN"/>
        </w:rPr>
        <w:spacing w:before="0" w:after="120"/>
      </w:pPr>
      <w:r>
        <w:rPr>
          <w:lang w:val="vi-VN"/>
        </w:rPr>
        <w:t>Translate-toolkit is one of the first open-source projects to appear on GitHub dedicated to multi-format translation file processing, marking the beginning of a movement to share knowledge about multilingual document processing within the programming community (Smith, 2019). The project is released under the GNU GPL v2 license, which allows other developers to freely use, modify, and redistribute it under the terms of the license. In terms of architecture, Translate-Toolkit provides a command-line toolkit and a Python library to convert between translation file formats such as PO, XLIFF, and TMX, as well as document formats such as DOCX, ODT, and HTML. The project focuses on extracting translated text strings from documents while preserving the entire markup structure and metadata of the original file. The installation process is detailed in the documentation; users must install Python 3.8 or higher and its dependent packages via pip, after which they can immediately use the command-line tools to batch-process documents (Park et al., 2021).</w:t>
      </w:r>
    </w:p>
    <w:p w14:paraId="7D83CA69">
      <w:pPr>
        <w:pStyle w:val="28"/>
        <w:spacing w:after="0"/>
      </w:pPr>
      <w:r>
        <w:t>Source Code</w:t>
      </w:r>
    </w:p>
    <w:p>
      <w:pPr>
        <w:pStyle w:val="28"/>
        <w:spacing w:before="0" w:after="120"/>
      </w:pPr>
      <w:r>
        <w:t>Source Code</w:t>
      </w:r>
    </w:p>
    <w:p w14:paraId="49051785">
      <w:pPr>
        <w:pStyle w:val="3"/>
        <w:spacing w:after="0"/>
      </w:pPr>
      <w:r>
        <w:t>DeepL is a closed-source commercial product; its source code is not publicly available on any code-sharing platform and is strictly protected as a core company asset under the Software-as-a-Service (SaaS) model (Hassan et al., 2020). Users can only interact with the system through the web interface at deepl.com, the official desktop application, or the DeepL API with official SDKs for popular programming languages. Regarding pricing, DeepL uses a freemium model with a limit of 500,000 characters per month for the free plan, while Pro plans require a recurring subscription for unlimited access, DOCX and PDF document processing, and API usage (Smith, 2019). The requirements for end users are very simple, consisting only of a modern web browser or desktop application and a stable internet connection to upload documents to DeepL’s cloud system. Enterprise users integrating the API need a Pro account and an API key for authentication, along with basic programming knowledge to use the corresponding SDK.</w:t>
      </w:r>
    </w:p>
    <w:p>
      <w:pPr>
        <w:pStyle w:val="3"/>
        <w:spacing w:before="0" w:after="120"/>
      </w:pPr>
      <w:r>
        <w:t>DeepL is a closed-source commercial product; its source code is not published on any code-sharing platform and is strictly protected as the company’s core asset under the Software-as-a-Service model (Hassan et al., 2020). Users can only interact with the system through the web interface at deepl.com, the official desktop app, or the DeepL API using official SDKs for popular programming languages. In terms of pricing, DeepL uses a freemium model with a limit of 500,000 characters per month for the free plan, while Pro plans require recurring payments for unlimited access, DOCX and PDF document processing, and API usage (Smith, 2019). The tools required from the end user are very simple, consisting only of a modern web browser or desktop application and a stable internet connection to upload documents to DeepL’s cloud system. Business users integrating APIs need a Pro account and an API key for authentication, along with basic programming knowledge to use the corresponding SDK.</w:t>
      </w:r>
    </w:p>
    <w:p w14:paraId="08B267D0">
      <w:pPr>
        <w:rPr>
          <w:lang w:val="vi-VN"/>
        </w:rPr>
        <w:spacing w:after="0"/>
      </w:pPr>
      <w:r>
        <w:t>Google Cloud Translation is similar to DeepL; it is also a commercial service with a completely closed-source model, although Google provides open-source client libraries on GitHub to facilitate API integration (Hassan et al., 2020). No source code repository related to the core translation model has been publicly released, although Google has published numerous academic research papers describing the model’s general architecture. Regarding pricing, Google Cloud Translation uses a pay-as-you-go model, charging $20 per million characters after the free quota of 500,000 characters per month is exhausted during the first year (Park et al., 2021). The integration process requires creating a project on Google Cloud Platform, enabling the Cloud Translation API, creating a service account, and downloading the JSON credentials, followed by installing the corresponding client library via pip or npm. Required tools include a Google Cloud account, a credit card to enable billing, and a development environment using a language supported by Google’s official SDK.</w:t>
      </w:r>
    </w:p>
    <w:p>
      <w:pPr>
        <w:rPr>
          <w:lang w:val="vi-VN"/>
        </w:rPr>
        <w:spacing w:before="0" w:after="120"/>
      </w:pPr>
      <w:r>
        <w:t>Google Cloud Translation is similar to DeepL, which is also a commercial service with a completely closed-source code model; however, Google provides open-source client libraries on GitHub to facilitate API integration (Hassan et al., 2020). There is no publicly available source code repository related to the core translation model, although Google has published numerous academic papers describing the general model architecture. Regarding the pricing policy, Google Cloud Translation uses a pay-as-you-go model with a rate of 20 USD per million characters after the free limit of 500,000 characters per month is exhausted in the first year (Park et al., 2021). The integration process requires creating a project on Google Cloud Platform, enabling the Cloud Translation API, creating a service account and downloading JSON credentials, and then installing the corresponding client library via pip or npm. Required tools include a Google Cloud account, a credit card to enable billing, and a programming environment with a language supported by the official Google SDK.</w:t>
      </w:r>
    </w:p>
    <w:p w14:paraId="077C00EB">
      <w:pPr>
        <w:pStyle w:val="28"/>
        <w:spacing w:after="0"/>
      </w:pPr>
      <w:r>
        <w:t>Data</w:t>
      </w:r>
    </w:p>
    <w:p>
      <w:pPr>
        <w:pStyle w:val="28"/>
        <w:spacing w:before="0" w:after="120"/>
      </w:pPr>
      <w:r>
        <w:t>Data</w:t>
      </w:r>
    </w:p>
    <w:p w14:paraId="067943D1">
      <w:pPr>
        <w:pStyle w:val="3"/>
        <w:spacing w:after="0"/>
      </w:pPr>
      <w:r>
        <w:t>Bilingual data plays a fundamental role in the development and evaluation of AI translation systems capable of preserving formatting, including both plain text data for training translation models and structured document data for testing formatting preservation (Hassan et al., 2020). The WMT (Workshop on Machine Translation) dataset, organized annually since 2006, is the most widely used benchmark dataset for evaluating modern AI translation systems. It consists of millions of bilingual sentence pairs collected from news sources, government documents, and legal texts, divided into training, validation, and standardized test sets (Smith, 2019).</w:t>
      </w:r>
    </w:p>
    <w:p>
      <w:pPr>
        <w:pStyle w:val="3"/>
        <w:spacing w:before="0" w:after="120"/>
      </w:pPr>
      <w:r>
        <w:t>Bilingual data plays a fundamental role in developing and evaluating format-preserving AI translation systems, including both plain text data for training translation models and structured document data for testing format preservation (Hassan et al., 2020). The WMT (Workshop on Machine Translation) dataset, held annually since 2006, is the most popular benchmark data source used in evaluating modern AI translation systems. It consists of millions of pairs of bilingual sentences collected from news sources, government documents, and legal documents, divided into training sets, validation sets, and standardized test sets (Smith, 2019).</w:t>
      </w:r>
    </w:p>
    <w:p w14:paraId="752B54C2">
      <w:pPr>
        <w:rPr>
          <w:lang w:val="vi-VN"/>
        </w:rPr>
        <w:spacing w:after="0"/>
      </w:pPr>
      <w:r>
        <w:t>Google Cloud Translation has developed a training dataset from a variety of sources, including filtered and bilingually aligned Common Crawl data, official translations from international organizations, and public academic datasets such as OpenSubtitles and Europarl, with a total estimated scale of hundreds of billions of bilingual tokens processed through a complex cleaning and deduplication pipeline (Vaswani et al., 2017). The data structure for document translation tasks includes additional fields such as `document_id` to group sentences belonging to the same document, `section_type` to distinguish between headings, main content, and footnotes, and `format_tags` to encode inline formatting information such as bold and italic.</w:t>
      </w:r>
    </w:p>
    <w:p>
      <w:pPr>
        <w:rPr>
          <w:lang w:val="vi-VN"/>
        </w:rPr>
        <w:spacing w:before="0" w:after="120"/>
      </w:pPr>
      <w:r>
        <w:t>Google Cloud Translation develops training datasets from diverse sources including bilingually filtered and aligned Common Crawl, official translations from international organizations, and public academic repositories such as OpenSubtitles and Europarl, with a total estimated size of hundreds of billions of bilingual tokens processed through complex cleaning and deduplication pipelines (Vaswani et al., 2017). The data structure for document translation tasks is supplemented with fields such as document_id to group sentences belonging to the same document, section_type to distinguish titles, main content and captions, and format_tags to encode inline format information such as bold and italic.</w:t>
      </w:r>
    </w:p>
    <w:p w14:paraId="2D16E3FC">
      <w:pPr>
        <w:pStyle w:val="42"/>
        <w:rPr>
          <w:lang w:val="vi-VN"/>
        </w:rPr>
        <w:spacing w:after="0"/>
      </w:pPr>
      <w:r>
        <w:rPr>
          <w:b/>
          <w:bCs/>
        </w:rPr>
        <w:t>Table 1.</w:t>
      </w:r>
      <w:r>
        <w:rPr>
          <w:b/>
        </w:rPr>
        <w:fldChar w:fldCharType="begin"/>
      </w:r>
      <w:r>
        <w:rPr>
          <w:b/>
        </w:rPr>
        <w:instrText xml:space="preserve"> SEQ "Table" \* MERGEFORMAT </w:instrText>
      </w:r>
      <w:r>
        <w:rPr>
          <w:b/>
        </w:rPr>
        <w:fldChar w:fldCharType="separate"/>
      </w:r>
      <w:r>
        <w:rPr>
          <w:b/>
        </w:rPr>
      </w:r>
      <w:r>
        <w:rPr>
          <w:b/>
        </w:rPr>
        <w:fldChar w:fldCharType="end"/>
      </w:r>
      <w:r>
        <w:rPr>
          <w:b/>
        </w:rPr>
      </w:r>
      <w:r>
        <w:t xml:space="preserve"> Comparison of Data Structures in Major AI Document Translation Systems |</w:t>
      </w:r>
    </w:p>
    <w:p>
      <w:pPr>
        <w:pStyle w:val="42"/>
        <w:rPr>
          <w:lang w:val="vi-VN"/>
        </w:rPr>
        <w:spacing w:before="0" w:after="120"/>
      </w:pPr>
      <w:r>
        <w:rPr>
          <w:b/>
          <w:bCs/>
        </w:rPr>
        <w:t>Table 1.</w:t>
      </w:r>
      <w:r>
        <w:rPr>
          <w:b/>
        </w:rPr>
      </w:r>
      <w:r>
        <w:rPr>
          <w:b/>
        </w:rPr>
      </w:r>
      <w:r>
        <w:rPr>
          <w:b/>
        </w:rPr>
      </w:r>
      <w:r>
        <w:t xml:space="preserve"> Comparison of data structures of major AI document translation systems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9"/>
        <w:gridCol w:w="1510"/>
        <w:gridCol w:w="1279"/>
        <w:gridCol w:w="1639"/>
      </w:tblGrid>
      <w:tr w14:paraId="549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6927885">
            <w:pPr>
              <w:spacing w:line="240" w:lineRule="atLeast" w:after="0"/>
              <w:ind w:firstLine="0"/>
              <w:rPr>
                <w:b/>
                <w:bCs/>
                <w:lang w:val="en-GB"/>
              </w:rPr>
            </w:pPr>
            <w:r>
              <w:rPr>
                <w:b/>
                <w:bCs/>
                <w:lang w:val="en-GB"/>
              </w:rPr>
              <w:t>Đặc điểm</w:t>
            </w:r>
          </w:p>
          <w:p>
            <w:pPr>
              <w:spacing w:line="240" w:lineRule="atLeast" w:after="120" w:before="0"/>
              <w:ind w:firstLine="0"/>
              <w:rPr>
                <w:b/>
                <w:bCs/>
                <w:lang w:val="en-GB"/>
              </w:rPr>
            </w:pPr>
            <w:r>
              <w:rPr>
                <w:b/>
                <w:bCs/>
                <w:lang w:val="en-GB"/>
              </w:rPr>
              <w:t>Characteristics</w:t>
            </w:r>
          </w:p>
          <w:p>
            <w:pPr>
              <w:spacing w:line="240" w:lineRule="atLeast" w:before="0" w:after="120"/>
              <w:ind w:firstLine="0"/>
              <w:rPr>
                <w:b/>
                <w:bCs/>
                <w:lang w:val="en-GB"/>
              </w:rPr>
            </w:pPr>
            <w:r>
              <w:rPr>
                <w:b/>
                <w:bCs/>
                <w:lang w:val="en-GB"/>
              </w:rPr>
              <w:t>Characteristics</w:t>
            </w:r>
          </w:p>
        </w:tc>
        <w:tc>
          <w:tcPr>
            <w:tcW w:w="1299" w:type="dxa"/>
          </w:tcPr>
          <w:p w14:paraId="3C2632C0">
            <w:pPr>
              <w:spacing w:line="240" w:lineRule="atLeast"/>
              <w:ind w:firstLine="0"/>
              <w:rPr>
                <w:b/>
                <w:bCs/>
                <w:lang w:val="en-GB"/>
              </w:rPr>
            </w:pPr>
            <w:r>
              <w:rPr>
                <w:b/>
                <w:bCs/>
                <w:lang w:val="en-GB"/>
              </w:rPr>
              <w:t>DeepL</w:t>
            </w:r>
          </w:p>
        </w:tc>
        <w:tc>
          <w:tcPr>
            <w:tcW w:w="1510" w:type="dxa"/>
          </w:tcPr>
          <w:p w14:paraId="2075BE94">
            <w:pPr>
              <w:spacing w:line="240" w:lineRule="atLeast"/>
              <w:ind w:firstLine="0"/>
              <w:rPr>
                <w:b/>
                <w:bCs/>
                <w:lang w:val="en-GB"/>
              </w:rPr>
            </w:pPr>
            <w:r>
              <w:rPr>
                <w:b/>
                <w:bCs/>
                <w:lang w:val="en-GB"/>
              </w:rPr>
              <w:t>Google Translate</w:t>
            </w:r>
          </w:p>
        </w:tc>
        <w:tc>
          <w:tcPr>
            <w:tcW w:w="0" w:type="auto"/>
          </w:tcPr>
          <w:p w14:paraId="601CEA89">
            <w:pPr>
              <w:spacing w:line="240" w:lineRule="atLeast"/>
              <w:ind w:firstLine="0"/>
              <w:rPr>
                <w:b/>
                <w:bCs/>
                <w:lang w:val="en-GB"/>
              </w:rPr>
            </w:pPr>
            <w:r>
              <w:rPr>
                <w:b/>
                <w:bCs/>
                <w:lang w:val="en-GB"/>
              </w:rPr>
              <w:t>Adobe Acrobat</w:t>
            </w:r>
          </w:p>
        </w:tc>
        <w:tc>
          <w:tcPr>
            <w:tcW w:w="0" w:type="auto"/>
          </w:tcPr>
          <w:p w14:paraId="505E8181">
            <w:pPr>
              <w:spacing w:line="240" w:lineRule="atLeast" w:after="0"/>
              <w:ind w:firstLine="0"/>
              <w:rPr>
                <w:b/>
                <w:bCs/>
                <w:lang w:val="en-GB"/>
              </w:rPr>
            </w:pPr>
            <w:r>
              <w:rPr>
                <w:b/>
                <w:bCs/>
                <w:lang w:val="en-GB"/>
              </w:rPr>
              <w:t xml:space="preserve">Mã nguồn mở</w:t>
            </w:r>
          </w:p>
          <w:p>
            <w:pPr>
              <w:spacing w:line="240" w:lineRule="atLeast" w:before="0" w:after="120"/>
              <w:ind w:firstLine="0"/>
              <w:rPr>
                <w:b/>
                <w:bCs/>
                <w:lang w:val="en-GB"/>
              </w:rPr>
            </w:pPr>
            <w:r>
              <w:rPr>
                <w:b/>
                <w:bCs/>
                <w:lang w:val="en-GB"/>
              </w:rPr>
              <w:t>Open source code</w:t>
            </w:r>
          </w:p>
        </w:tc>
      </w:tr>
      <w:tr w14:paraId="59D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C9DF8BB">
            <w:pPr>
              <w:spacing w:line="240" w:lineRule="atLeast" w:after="0"/>
              <w:ind w:firstLine="0"/>
              <w:rPr>
                <w:lang w:val="en-GB"/>
              </w:rPr>
            </w:pPr>
            <w:r>
              <w:rPr>
                <w:lang w:val="en-GB"/>
              </w:rPr>
              <w:t>Định dạng hỗ trợ</w:t>
            </w:r>
          </w:p>
          <w:p>
            <w:pPr>
              <w:spacing w:line="240" w:lineRule="atLeast" w:before="0" w:after="120"/>
              <w:ind w:firstLine="0"/>
              <w:rPr>
                <w:lang w:val="en-GB"/>
              </w:rPr>
            </w:pPr>
            <w:r>
              <w:rPr>
                <w:lang w:val="en-GB"/>
              </w:rPr>
              <w:t>Format support</w:t>
            </w:r>
          </w:p>
        </w:tc>
        <w:tc>
          <w:tcPr>
            <w:tcW w:w="1299" w:type="dxa"/>
          </w:tcPr>
          <w:p w14:paraId="335C0E8D">
            <w:pPr>
              <w:spacing w:line="240" w:lineRule="atLeast"/>
              <w:ind w:firstLine="0"/>
              <w:rPr>
                <w:lang w:val="en-GB"/>
              </w:rPr>
            </w:pPr>
            <w:r>
              <w:rPr>
                <w:lang w:val="en-GB"/>
              </w:rPr>
              <w:t>DOCX, PPTX, PDF</w:t>
            </w:r>
          </w:p>
        </w:tc>
        <w:tc>
          <w:tcPr>
            <w:tcW w:w="1510" w:type="dxa"/>
          </w:tcPr>
          <w:p w14:paraId="6DA71149">
            <w:pPr>
              <w:spacing w:line="240" w:lineRule="atLeast"/>
              <w:ind w:firstLine="0"/>
              <w:rPr>
                <w:lang w:val="en-GB"/>
              </w:rPr>
            </w:pPr>
            <w:r>
              <w:rPr>
                <w:lang w:val="en-GB"/>
              </w:rPr>
              <w:t>DOCX, PDF, HTML</w:t>
            </w:r>
          </w:p>
        </w:tc>
        <w:tc>
          <w:tcPr>
            <w:tcW w:w="0" w:type="auto"/>
          </w:tcPr>
          <w:p w14:paraId="3D4F0419">
            <w:pPr>
              <w:spacing w:line="240" w:lineRule="atLeast"/>
              <w:ind w:firstLine="0"/>
              <w:rPr>
                <w:lang w:val="en-GB"/>
              </w:rPr>
            </w:pPr>
            <w:r>
              <w:rPr>
                <w:lang w:val="en-GB"/>
              </w:rPr>
              <w:t>PDF, DOCX</w:t>
            </w:r>
          </w:p>
        </w:tc>
        <w:tc>
          <w:tcPr>
            <w:tcW w:w="0" w:type="auto"/>
          </w:tcPr>
          <w:p w14:paraId="1B5D0030">
            <w:pPr>
              <w:spacing w:line="240" w:lineRule="atLeast"/>
              <w:ind w:firstLine="0"/>
              <w:rPr>
                <w:lang w:val="en-GB"/>
              </w:rPr>
            </w:pPr>
            <w:r>
              <w:rPr>
                <w:lang w:val="en-GB"/>
              </w:rPr>
              <w:t>CSV/JSON/XML</w:t>
            </w:r>
          </w:p>
        </w:tc>
      </w:tr>
      <w:tr w14:paraId="3926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9BF9CC3">
            <w:pPr>
              <w:spacing w:line="240" w:lineRule="atLeast" w:after="0"/>
              <w:ind w:firstLine="0"/>
              <w:rPr>
                <w:lang w:val="en-GB"/>
              </w:rPr>
            </w:pPr>
            <w:r>
              <w:rPr>
                <w:lang w:val="en-GB"/>
              </w:rPr>
              <w:t xml:space="preserve">Số ngôn ngữ</w:t>
            </w:r>
          </w:p>
          <w:p>
            <w:pPr>
              <w:spacing w:line="240" w:lineRule="atLeast" w:before="0" w:after="120"/>
              <w:ind w:firstLine="0"/>
              <w:rPr>
                <w:lang w:val="en-GB"/>
              </w:rPr>
            </w:pPr>
            <w:r>
              <w:rPr>
                <w:lang w:val="en-GB"/>
              </w:rPr>
              <w:t>Language number</w:t>
            </w:r>
          </w:p>
        </w:tc>
        <w:tc>
          <w:tcPr>
            <w:tcW w:w="1299" w:type="dxa"/>
          </w:tcPr>
          <w:p w14:paraId="16ED99BE">
            <w:pPr>
              <w:spacing w:line="240" w:lineRule="atLeast" w:after="0"/>
              <w:ind w:firstLine="0"/>
              <w:rPr>
                <w:lang w:val="en-GB"/>
              </w:rPr>
            </w:pPr>
            <w:r>
              <w:rPr>
                <w:lang w:val="en-GB"/>
              </w:rPr>
              <w:t xml:space="preserve">31 ngôn ngữ</w:t>
            </w:r>
          </w:p>
          <w:p>
            <w:pPr>
              <w:spacing w:line="240" w:lineRule="atLeast" w:before="0" w:after="120"/>
              <w:ind w:firstLine="0"/>
              <w:rPr>
                <w:lang w:val="en-GB"/>
              </w:rPr>
            </w:pPr>
            <w:r>
              <w:rPr>
                <w:lang w:val="en-GB"/>
              </w:rPr>
              <w:t>31 languages</w:t>
            </w:r>
          </w:p>
        </w:tc>
        <w:tc>
          <w:tcPr>
            <w:tcW w:w="1510" w:type="dxa"/>
          </w:tcPr>
          <w:p w14:paraId="342FCAA4">
            <w:pPr>
              <w:spacing w:line="240" w:lineRule="atLeast" w:after="0"/>
              <w:ind w:firstLine="0"/>
              <w:rPr>
                <w:lang w:val="en-GB"/>
              </w:rPr>
            </w:pPr>
            <w:r>
              <w:rPr>
                <w:lang w:val="en-GB"/>
              </w:rPr>
              <w:t xml:space="preserve">135 ngôn ngữ</w:t>
            </w:r>
          </w:p>
          <w:p>
            <w:pPr>
              <w:spacing w:line="240" w:lineRule="atLeast" w:before="0" w:after="120"/>
              <w:ind w:firstLine="0"/>
              <w:rPr>
                <w:lang w:val="en-GB"/>
              </w:rPr>
            </w:pPr>
            <w:r>
              <w:rPr>
                <w:lang w:val="en-GB"/>
              </w:rPr>
              <w:t>135 languages</w:t>
            </w:r>
          </w:p>
        </w:tc>
        <w:tc>
          <w:tcPr>
            <w:tcW w:w="0" w:type="auto"/>
          </w:tcPr>
          <w:p w14:paraId="287DCD65">
            <w:pPr>
              <w:spacing w:line="240" w:lineRule="atLeast" w:after="0"/>
              <w:ind w:firstLine="0"/>
              <w:rPr>
                <w:lang w:val="en-GB"/>
              </w:rPr>
            </w:pPr>
            <w:r>
              <w:rPr>
                <w:lang w:val="en-GB"/>
              </w:rPr>
              <w:t>35 languages</w:t>
            </w:r>
          </w:p>
          <w:p>
            <w:pPr>
              <w:spacing w:line="240" w:lineRule="atLeast" w:before="0" w:after="120"/>
              <w:ind w:firstLine="0"/>
              <w:rPr>
                <w:lang w:val="en-GB"/>
              </w:rPr>
            </w:pPr>
            <w:r>
              <w:rPr>
                <w:lang w:val="en-GB"/>
              </w:rPr>
              <w:t>35 languages</w:t>
            </w:r>
          </w:p>
        </w:tc>
        <w:tc>
          <w:tcPr>
            <w:tcW w:w="0" w:type="auto"/>
          </w:tcPr>
          <w:p w14:paraId="7D3D7108">
            <w:pPr>
              <w:spacing w:line="240" w:lineRule="atLeast" w:after="0"/>
              <w:ind w:firstLine="0"/>
              <w:rPr>
                <w:lang w:val="en-GB"/>
              </w:rPr>
            </w:pPr>
            <w:r>
              <w:rPr>
                <w:lang w:val="en-GB"/>
              </w:rPr>
              <w:t>10–135 languages</w:t>
            </w:r>
          </w:p>
          <w:p>
            <w:pPr>
              <w:spacing w:line="240" w:lineRule="atLeast" w:before="0" w:after="120"/>
              <w:ind w:firstLine="0"/>
              <w:rPr>
                <w:lang w:val="en-GB"/>
              </w:rPr>
            </w:pPr>
            <w:r>
              <w:rPr>
                <w:lang w:val="en-GB"/>
              </w:rPr>
              <w:t>10–135 languages</w:t>
            </w:r>
          </w:p>
        </w:tc>
      </w:tr>
      <w:tr w14:paraId="1C5F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AD26B5E">
            <w:pPr>
              <w:spacing w:line="240" w:lineRule="atLeast" w:after="0"/>
              <w:ind w:firstLine="0"/>
              <w:rPr>
                <w:lang w:val="en-GB"/>
              </w:rPr>
            </w:pPr>
            <w:r>
              <w:rPr>
                <w:lang w:val="en-GB"/>
              </w:rPr>
              <w:t>Preserve the board</w:t>
            </w:r>
          </w:p>
          <w:p>
            <w:pPr>
              <w:spacing w:line="240" w:lineRule="atLeast" w:before="0" w:after="120"/>
              <w:ind w:firstLine="0"/>
              <w:rPr>
                <w:lang w:val="en-GB"/>
              </w:rPr>
            </w:pPr>
            <w:r>
              <w:rPr>
                <w:lang w:val="en-GB"/>
              </w:rPr>
              <w:t>Preserve the board</w:t>
            </w:r>
          </w:p>
        </w:tc>
        <w:tc>
          <w:tcPr>
            <w:tcW w:w="1299" w:type="dxa"/>
          </w:tcPr>
          <w:p w14:paraId="456DBAD5">
            <w:pPr>
              <w:spacing w:line="240" w:lineRule="atLeast" w:after="0"/>
              <w:ind w:firstLine="0"/>
              <w:rPr>
                <w:lang w:val="en-GB"/>
              </w:rPr>
            </w:pPr>
            <w:r>
              <w:rPr>
                <w:lang w:val="en-GB"/>
              </w:rPr>
              <w:t>Full</w:t>
            </w:r>
          </w:p>
          <w:p>
            <w:pPr>
              <w:spacing w:line="240" w:lineRule="atLeast" w:before="0" w:after="120"/>
              <w:ind w:firstLine="0"/>
              <w:rPr>
                <w:lang w:val="en-GB"/>
              </w:rPr>
            </w:pPr>
            <w:r>
              <w:rPr>
                <w:lang w:val="en-GB"/>
              </w:rPr>
              <w:t>Full</w:t>
            </w:r>
          </w:p>
        </w:tc>
        <w:tc>
          <w:tcPr>
            <w:tcW w:w="1510" w:type="dxa"/>
          </w:tcPr>
          <w:p w14:paraId="1DA55460">
            <w:pPr>
              <w:spacing w:line="240" w:lineRule="atLeast" w:after="0"/>
              <w:ind w:firstLine="0"/>
              <w:rPr>
                <w:lang w:val="en-GB"/>
              </w:rPr>
            </w:pPr>
            <w:r>
              <w:rPr>
                <w:lang w:val="en-GB"/>
              </w:rPr>
              <w:t>Partly</w:t>
            </w:r>
          </w:p>
          <w:p>
            <w:pPr>
              <w:spacing w:line="240" w:lineRule="atLeast" w:before="0" w:after="120"/>
              <w:ind w:firstLine="0"/>
              <w:rPr>
                <w:lang w:val="en-GB"/>
              </w:rPr>
            </w:pPr>
            <w:r>
              <w:rPr>
                <w:lang w:val="en-GB"/>
              </w:rPr>
              <w:t>Partly</w:t>
            </w:r>
          </w:p>
        </w:tc>
        <w:tc>
          <w:tcPr>
            <w:tcW w:w="0" w:type="auto"/>
          </w:tcPr>
          <w:p w14:paraId="6AA295ED">
            <w:pPr>
              <w:spacing w:line="240" w:lineRule="atLeast" w:after="0"/>
              <w:ind w:firstLine="0"/>
              <w:rPr>
                <w:lang w:val="en-GB"/>
              </w:rPr>
            </w:pPr>
            <w:r>
              <w:rPr>
                <w:lang w:val="en-GB"/>
              </w:rPr>
              <w:t>Full</w:t>
            </w:r>
          </w:p>
          <w:p>
            <w:pPr>
              <w:spacing w:line="240" w:lineRule="atLeast" w:before="0" w:after="120"/>
              <w:ind w:firstLine="0"/>
              <w:rPr>
                <w:lang w:val="en-GB"/>
              </w:rPr>
            </w:pPr>
            <w:r>
              <w:rPr>
                <w:lang w:val="en-GB"/>
              </w:rPr>
              <w:t>Full</w:t>
            </w:r>
          </w:p>
        </w:tc>
        <w:tc>
          <w:tcPr>
            <w:tcW w:w="0" w:type="auto"/>
          </w:tcPr>
          <w:p w14:paraId="7A5EA7FF">
            <w:pPr>
              <w:spacing w:line="240" w:lineRule="atLeast" w:after="0"/>
              <w:ind w:firstLine="0"/>
              <w:rPr>
                <w:lang w:val="en-GB"/>
              </w:rPr>
            </w:pPr>
            <w:r>
              <w:rPr>
                <w:lang w:val="en-GB"/>
              </w:rPr>
              <w:t>Partly</w:t>
            </w:r>
          </w:p>
          <w:p>
            <w:pPr>
              <w:spacing w:line="240" w:lineRule="atLeast" w:before="0" w:after="120"/>
              <w:ind w:firstLine="0"/>
              <w:rPr>
                <w:lang w:val="en-GB"/>
              </w:rPr>
            </w:pPr>
            <w:r>
              <w:rPr>
                <w:lang w:val="en-GB"/>
              </w:rPr>
              <w:t>Partly</w:t>
            </w:r>
          </w:p>
        </w:tc>
      </w:tr>
      <w:tr w14:paraId="2180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2188138C">
            <w:pPr>
              <w:spacing w:line="240" w:lineRule="atLeast" w:after="0"/>
              <w:ind w:firstLine="0"/>
              <w:rPr>
                <w:lang w:val="en-GB"/>
              </w:rPr>
            </w:pPr>
            <w:r>
              <w:rPr>
                <w:lang w:val="en-GB"/>
              </w:rPr>
              <w:t>OCR support</w:t>
            </w:r>
          </w:p>
          <w:p>
            <w:pPr>
              <w:spacing w:line="240" w:lineRule="atLeast" w:before="0" w:after="120"/>
              <w:ind w:firstLine="0"/>
              <w:rPr>
                <w:lang w:val="en-GB"/>
              </w:rPr>
            </w:pPr>
            <w:r>
              <w:rPr>
                <w:lang w:val="en-GB"/>
              </w:rPr>
              <w:t>OCR support</w:t>
            </w:r>
          </w:p>
        </w:tc>
        <w:tc>
          <w:tcPr>
            <w:tcW w:w="1299" w:type="dxa"/>
          </w:tcPr>
          <w:p w14:paraId="7C62A524">
            <w:pPr>
              <w:spacing w:line="240" w:lineRule="atLeast" w:after="0"/>
              <w:ind w:firstLine="0"/>
              <w:rPr>
                <w:lang w:val="en-GB"/>
              </w:rPr>
            </w:pPr>
            <w:r>
              <w:rPr>
                <w:lang w:val="en-GB"/>
              </w:rPr>
              <w:t>Yes (limited)</w:t>
            </w:r>
          </w:p>
          <w:p>
            <w:pPr>
              <w:spacing w:line="240" w:lineRule="atLeast" w:before="0" w:after="120"/>
              <w:ind w:firstLine="0"/>
              <w:rPr>
                <w:lang w:val="en-GB"/>
              </w:rPr>
            </w:pPr>
            <w:r>
              <w:rPr>
                <w:lang w:val="en-GB"/>
              </w:rPr>
              <w:t>Yes (limited)</w:t>
            </w:r>
          </w:p>
        </w:tc>
        <w:tc>
          <w:tcPr>
            <w:tcW w:w="1510" w:type="dxa"/>
          </w:tcPr>
          <w:p w14:paraId="6F665AA0">
            <w:pPr>
              <w:spacing w:line="240" w:lineRule="atLeast" w:after="0"/>
              <w:ind w:firstLine="0"/>
              <w:rPr>
                <w:lang w:val="en-GB"/>
              </w:rPr>
            </w:pPr>
            <w:r>
              <w:rPr>
                <w:lang w:val="en-GB"/>
              </w:rPr>
              <w:t>Yes (Document AI)</w:t>
            </w:r>
          </w:p>
          <w:p>
            <w:pPr>
              <w:spacing w:line="240" w:lineRule="atLeast" w:before="0" w:after="120"/>
              <w:ind w:firstLine="0"/>
              <w:rPr>
                <w:lang w:val="en-GB"/>
              </w:rPr>
            </w:pPr>
            <w:r>
              <w:rPr>
                <w:lang w:val="en-GB"/>
              </w:rPr>
              <w:t>Yes (Document AI)</w:t>
            </w:r>
          </w:p>
        </w:tc>
        <w:tc>
          <w:tcPr>
            <w:tcW w:w="0" w:type="auto"/>
          </w:tcPr>
          <w:p w14:paraId="44AF9267">
            <w:pPr>
              <w:spacing w:line="240" w:lineRule="atLeast" w:after="0"/>
              <w:ind w:firstLine="0"/>
              <w:rPr>
                <w:lang w:val="en-GB"/>
              </w:rPr>
            </w:pPr>
            <w:r>
              <w:rPr>
                <w:lang w:val="en-GB"/>
              </w:rPr>
              <w:t>Yes (advanced)</w:t>
            </w:r>
          </w:p>
          <w:p>
            <w:pPr>
              <w:spacing w:line="240" w:lineRule="atLeast" w:before="0" w:after="120"/>
              <w:ind w:firstLine="0"/>
              <w:rPr>
                <w:lang w:val="en-GB"/>
              </w:rPr>
            </w:pPr>
            <w:r>
              <w:rPr>
                <w:lang w:val="en-GB"/>
              </w:rPr>
              <w:t>Yes (advanced)</w:t>
            </w:r>
          </w:p>
        </w:tc>
        <w:tc>
          <w:tcPr>
            <w:tcW w:w="0" w:type="auto"/>
          </w:tcPr>
          <w:p w14:paraId="1E905103">
            <w:pPr>
              <w:spacing w:line="240" w:lineRule="atLeast" w:after="0"/>
              <w:ind w:firstLine="0"/>
              <w:rPr>
                <w:lang w:val="en-GB"/>
              </w:rPr>
            </w:pPr>
            <w:r>
              <w:rPr>
                <w:lang w:val="en-GB"/>
              </w:rPr>
              <w:t>Depends on the library</w:t>
            </w:r>
          </w:p>
          <w:p>
            <w:pPr>
              <w:spacing w:line="240" w:lineRule="atLeast" w:before="0" w:after="120"/>
              <w:ind w:firstLine="0"/>
              <w:rPr>
                <w:lang w:val="en-GB"/>
              </w:rPr>
            </w:pPr>
            <w:r>
              <w:rPr>
                <w:lang w:val="en-GB"/>
              </w:rPr>
              <w:t>Depends on the library</w:t>
            </w:r>
          </w:p>
        </w:tc>
      </w:tr>
      <w:tr w14:paraId="4CA2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E9B3CF9">
            <w:pPr>
              <w:spacing w:line="240" w:lineRule="atLeast" w:after="0"/>
              <w:ind w:firstLine="0"/>
              <w:rPr>
                <w:lang w:val="en-GB"/>
              </w:rPr>
            </w:pPr>
            <w:r>
              <w:rPr>
                <w:lang w:val="en-GB"/>
              </w:rPr>
              <w:t>Maximum capacity</w:t>
            </w:r>
          </w:p>
          <w:p>
            <w:pPr>
              <w:spacing w:line="240" w:lineRule="atLeast" w:before="0" w:after="120"/>
              <w:ind w:firstLine="0"/>
              <w:rPr>
                <w:lang w:val="en-GB"/>
              </w:rPr>
            </w:pPr>
            <w:r>
              <w:rPr>
                <w:lang w:val="en-GB"/>
              </w:rPr>
              <w:t>Maximum capacity</w:t>
            </w:r>
          </w:p>
        </w:tc>
        <w:tc>
          <w:tcPr>
            <w:tcW w:w="1299" w:type="dxa"/>
          </w:tcPr>
          <w:p w14:paraId="047F05CF">
            <w:pPr>
              <w:spacing w:line="240" w:lineRule="atLeast"/>
              <w:ind w:firstLine="0"/>
              <w:rPr>
                <w:lang w:val="en-GB"/>
              </w:rPr>
            </w:pPr>
            <w:r>
              <w:rPr>
                <w:lang w:val="en-GB"/>
              </w:rPr>
              <w:t>10 MB/file</w:t>
            </w:r>
          </w:p>
        </w:tc>
        <w:tc>
          <w:tcPr>
            <w:tcW w:w="1510" w:type="dxa"/>
          </w:tcPr>
          <w:p w14:paraId="180E9883">
            <w:pPr>
              <w:spacing w:line="240" w:lineRule="atLeast"/>
              <w:ind w:firstLine="0"/>
              <w:rPr>
                <w:lang w:val="en-GB"/>
              </w:rPr>
            </w:pPr>
            <w:r>
              <w:rPr>
                <w:lang w:val="en-GB"/>
              </w:rPr>
              <w:t>20 MB/file</w:t>
            </w:r>
          </w:p>
        </w:tc>
        <w:tc>
          <w:tcPr>
            <w:tcW w:w="0" w:type="auto"/>
          </w:tcPr>
          <w:p w14:paraId="02FDA9EB">
            <w:pPr>
              <w:spacing w:line="240" w:lineRule="atLeast"/>
              <w:ind w:firstLine="0"/>
              <w:rPr>
                <w:lang w:val="en-GB"/>
              </w:rPr>
            </w:pPr>
            <w:r>
              <w:rPr>
                <w:lang w:val="en-GB"/>
              </w:rPr>
              <w:t>500 MB/file</w:t>
            </w:r>
          </w:p>
        </w:tc>
        <w:tc>
          <w:tcPr>
            <w:tcW w:w="0" w:type="auto"/>
          </w:tcPr>
          <w:p w14:paraId="586C450E">
            <w:pPr>
              <w:spacing w:line="240" w:lineRule="atLeast" w:after="0"/>
              <w:ind w:firstLine="0"/>
              <w:rPr>
                <w:lang w:val="en-GB"/>
              </w:rPr>
            </w:pPr>
            <w:r>
              <w:rPr>
                <w:lang w:val="en-GB"/>
              </w:rPr>
              <w:t>Unlimited</w:t>
            </w:r>
          </w:p>
          <w:p>
            <w:pPr>
              <w:spacing w:line="240" w:lineRule="atLeast" w:before="0" w:after="120"/>
              <w:ind w:firstLine="0"/>
              <w:rPr>
                <w:lang w:val="en-GB"/>
              </w:rPr>
            </w:pPr>
            <w:r>
              <w:rPr>
                <w:lang w:val="en-GB"/>
              </w:rPr>
              <w:t>Unlimited</w:t>
            </w:r>
          </w:p>
        </w:tc>
      </w:tr>
      <w:tr w14:paraId="0D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21DFA01">
            <w:pPr>
              <w:spacing w:line="240" w:lineRule="atLeast" w:after="0"/>
              <w:ind w:firstLine="0"/>
              <w:rPr>
                <w:lang w:val="en-GB"/>
              </w:rPr>
            </w:pPr>
            <w:r>
              <w:rPr>
                <w:lang w:val="en-GB"/>
              </w:rPr>
              <w:t>Update model</w:t>
            </w:r>
          </w:p>
          <w:p>
            <w:pPr>
              <w:spacing w:line="240" w:lineRule="atLeast" w:before="0" w:after="120"/>
              <w:ind w:firstLine="0"/>
              <w:rPr>
                <w:lang w:val="en-GB"/>
              </w:rPr>
            </w:pPr>
            <w:r>
              <w:rPr>
                <w:lang w:val="en-GB"/>
              </w:rPr>
              <w:t>Update model</w:t>
            </w:r>
          </w:p>
        </w:tc>
        <w:tc>
          <w:tcPr>
            <w:tcW w:w="1299" w:type="dxa"/>
          </w:tcPr>
          <w:p w14:paraId="530CADF0">
            <w:pPr>
              <w:spacing w:line="240" w:lineRule="atLeast" w:after="0"/>
              <w:ind w:firstLine="0"/>
              <w:rPr>
                <w:lang w:val="en-GB"/>
              </w:rPr>
            </w:pPr>
            <w:r>
              <w:rPr>
                <w:lang w:val="en-GB"/>
              </w:rPr>
              <w:t>Continuously</w:t>
            </w:r>
          </w:p>
          <w:p>
            <w:pPr>
              <w:spacing w:line="240" w:lineRule="atLeast" w:before="0" w:after="120"/>
              <w:ind w:firstLine="0"/>
              <w:rPr>
                <w:lang w:val="en-GB"/>
              </w:rPr>
            </w:pPr>
            <w:r>
              <w:rPr>
                <w:lang w:val="en-GB"/>
              </w:rPr>
              <w:t>Continuously</w:t>
            </w:r>
          </w:p>
        </w:tc>
        <w:tc>
          <w:tcPr>
            <w:tcW w:w="1510" w:type="dxa"/>
          </w:tcPr>
          <w:p w14:paraId="2879A529">
            <w:pPr>
              <w:spacing w:line="240" w:lineRule="atLeast" w:after="0"/>
              <w:ind w:firstLine="0"/>
              <w:rPr>
                <w:lang w:val="en-GB"/>
              </w:rPr>
            </w:pPr>
            <w:r>
              <w:rPr>
                <w:lang w:val="en-GB"/>
              </w:rPr>
              <w:t>Continuously</w:t>
            </w:r>
          </w:p>
          <w:p>
            <w:pPr>
              <w:spacing w:line="240" w:lineRule="atLeast" w:before="0" w:after="120"/>
              <w:ind w:firstLine="0"/>
              <w:rPr>
                <w:lang w:val="en-GB"/>
              </w:rPr>
            </w:pPr>
            <w:r>
              <w:rPr>
                <w:lang w:val="en-GB"/>
              </w:rPr>
              <w:t>Continuously</w:t>
            </w:r>
          </w:p>
        </w:tc>
        <w:tc>
          <w:tcPr>
            <w:tcW w:w="0" w:type="auto"/>
          </w:tcPr>
          <w:p w14:paraId="5DC1DF9F">
            <w:pPr>
              <w:spacing w:line="240" w:lineRule="atLeast" w:after="0"/>
              <w:ind w:firstLine="0"/>
              <w:rPr>
                <w:lang w:val="en-GB"/>
              </w:rPr>
            </w:pPr>
            <w:r>
              <w:rPr>
                <w:lang w:val="en-GB"/>
              </w:rPr>
              <w:t>According to version</w:t>
            </w:r>
          </w:p>
          <w:p>
            <w:pPr>
              <w:spacing w:line="240" w:lineRule="atLeast" w:before="0" w:after="120"/>
              <w:ind w:firstLine="0"/>
              <w:rPr>
                <w:lang w:val="en-GB"/>
              </w:rPr>
            </w:pPr>
            <w:r>
              <w:rPr>
                <w:lang w:val="en-GB"/>
              </w:rPr>
              <w:t>According to version</w:t>
            </w:r>
          </w:p>
        </w:tc>
        <w:tc>
          <w:tcPr>
            <w:tcW w:w="0" w:type="auto"/>
          </w:tcPr>
          <w:p w14:paraId="71ACCCC5">
            <w:pPr>
              <w:spacing w:line="240" w:lineRule="atLeast" w:after="0"/>
              <w:ind w:firstLine="0"/>
              <w:rPr>
                <w:lang w:val="en-GB"/>
              </w:rPr>
            </w:pPr>
            <w:r>
              <w:rPr>
                <w:lang w:val="en-GB"/>
              </w:rPr>
              <w:t>Uneven</w:t>
            </w:r>
          </w:p>
          <w:p>
            <w:pPr>
              <w:spacing w:line="240" w:lineRule="atLeast" w:before="0" w:after="120"/>
              <w:ind w:firstLine="0"/>
              <w:rPr>
                <w:lang w:val="en-GB"/>
              </w:rPr>
            </w:pPr>
            <w:r>
              <w:rPr>
                <w:lang w:val="en-GB"/>
              </w:rPr>
              <w:t>Uneven</w:t>
            </w:r>
          </w:p>
        </w:tc>
      </w:tr>
      <w:tr w14:paraId="3E6C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11E6ED4">
            <w:pPr>
              <w:spacing w:line="240" w:lineRule="atLeast" w:after="0"/>
              <w:ind w:firstLine="0"/>
              <w:rPr>
                <w:lang w:val="en-GB"/>
              </w:rPr>
            </w:pPr>
            <w:r>
              <w:rPr>
                <w:lang w:val="en-GB"/>
              </w:rPr>
              <w:t>Custom Glossary</w:t>
            </w:r>
          </w:p>
          <w:p>
            <w:pPr>
              <w:spacing w:line="240" w:lineRule="atLeast" w:before="0" w:after="120"/>
              <w:ind w:firstLine="0"/>
              <w:rPr>
                <w:lang w:val="en-GB"/>
              </w:rPr>
            </w:pPr>
            <w:r>
              <w:rPr>
                <w:lang w:val="en-GB"/>
              </w:rPr>
              <w:t>Custom Glossary</w:t>
            </w:r>
          </w:p>
        </w:tc>
        <w:tc>
          <w:tcPr>
            <w:tcW w:w="1299" w:type="dxa"/>
          </w:tcPr>
          <w:p w14:paraId="178E8A98">
            <w:pPr>
              <w:spacing w:line="240" w:lineRule="atLeast" w:after="0"/>
              <w:ind w:firstLine="0"/>
              <w:rPr>
                <w:lang w:val="en-GB"/>
              </w:rPr>
            </w:pPr>
            <w:r>
              <w:rPr>
                <w:lang w:val="en-GB"/>
              </w:rPr>
              <w:t>Yes</w:t>
            </w:r>
          </w:p>
          <w:p>
            <w:pPr>
              <w:spacing w:line="240" w:lineRule="atLeast" w:before="0" w:after="120"/>
              <w:ind w:firstLine="0"/>
              <w:rPr>
                <w:lang w:val="en-GB"/>
              </w:rPr>
            </w:pPr>
            <w:r>
              <w:rPr>
                <w:lang w:val="en-GB"/>
              </w:rPr>
              <w:t>Yes</w:t>
            </w:r>
          </w:p>
        </w:tc>
        <w:tc>
          <w:tcPr>
            <w:tcW w:w="1510" w:type="dxa"/>
          </w:tcPr>
          <w:p w14:paraId="526798F3">
            <w:pPr>
              <w:spacing w:line="240" w:lineRule="atLeast" w:after="0"/>
              <w:ind w:firstLine="0"/>
              <w:rPr>
                <w:lang w:val="en-GB"/>
              </w:rPr>
            </w:pPr>
            <w:r>
              <w:rPr>
                <w:lang w:val="en-GB"/>
              </w:rPr>
              <w:t>Yes (AutoML)</w:t>
            </w:r>
          </w:p>
          <w:p>
            <w:pPr>
              <w:spacing w:line="240" w:lineRule="atLeast" w:before="0" w:after="120"/>
              <w:ind w:firstLine="0"/>
              <w:rPr>
                <w:lang w:val="en-GB"/>
              </w:rPr>
            </w:pPr>
            <w:r>
              <w:rPr>
                <w:lang w:val="en-GB"/>
              </w:rPr>
              <w:t>Yes (AutoML)</w:t>
            </w:r>
          </w:p>
        </w:tc>
        <w:tc>
          <w:tcPr>
            <w:tcW w:w="0" w:type="auto"/>
          </w:tcPr>
          <w:p w14:paraId="6B6370CD">
            <w:pPr>
              <w:spacing w:line="240" w:lineRule="atLeast" w:after="0"/>
              <w:ind w:firstLine="0"/>
              <w:rPr>
                <w:lang w:val="en-GB"/>
              </w:rPr>
            </w:pPr>
            <w:r>
              <w:rPr>
                <w:lang w:val="en-GB"/>
              </w:rPr>
              <w:t>No</w:t>
            </w:r>
          </w:p>
          <w:p>
            <w:pPr>
              <w:spacing w:line="240" w:lineRule="atLeast" w:before="0" w:after="120"/>
              <w:ind w:firstLine="0"/>
              <w:rPr>
                <w:lang w:val="en-GB"/>
              </w:rPr>
            </w:pPr>
            <w:r>
              <w:rPr>
                <w:lang w:val="en-GB"/>
              </w:rPr>
              <w:t>No</w:t>
            </w:r>
          </w:p>
        </w:tc>
        <w:tc>
          <w:tcPr>
            <w:tcW w:w="0" w:type="auto"/>
          </w:tcPr>
          <w:p w14:paraId="60EB5019">
            <w:pPr>
              <w:spacing w:line="240" w:lineRule="atLeast" w:after="0"/>
              <w:ind w:firstLine="0"/>
              <w:rPr>
                <w:lang w:val="en-GB"/>
              </w:rPr>
            </w:pPr>
            <w:r>
              <w:rPr>
                <w:lang w:val="en-GB"/>
              </w:rPr>
              <w:t>Depends on the project</w:t>
            </w:r>
          </w:p>
          <w:p>
            <w:pPr>
              <w:spacing w:line="240" w:lineRule="atLeast" w:before="0" w:after="120"/>
              <w:ind w:firstLine="0"/>
              <w:rPr>
                <w:lang w:val="en-GB"/>
              </w:rPr>
            </w:pPr>
            <w:r>
              <w:rPr>
                <w:lang w:val="en-GB"/>
              </w:rPr>
              <w:t>Depends on the project</w:t>
            </w:r>
          </w:p>
        </w:tc>
      </w:tr>
    </w:tbl>
    <w:p w14:paraId="2175FA3E">
      <w:pPr>
        <w:spacing w:before="240" w:after="0"/>
        <w:ind w:firstLine="0"/>
        <w:rPr>
          <w:lang w:val="vi-VN"/>
        </w:rPr>
      </w:pPr>
      <w:r>
        <w:rPr>
          <w:lang w:val="vi-VN"/>
        </w:rPr>
        <w:t>Regarding methods for collecting and building formatted document data for AI translation systems, most commercial systems combine automated web scraping with manual filtering and quality control by teams of language experts (Park et al., 2021). DeepL collaborates with academic publishers and professional translation agencies to obtain high-quality bilingual data in specialized fields such as healthcare, law, and engineering, which is then processed through an automated alignment pipeline combined with human review to ensure the quality of the bilingual sentence pairs, which are finally augmented using back-translation and data synthesis techniques to increase diversity (Hassan et al., 2020). Google uses a large-scale data collection method from Common Crawl combined with automatic language identification and sentence alignment algorithms, but must address issues of data noise and semantically non-equivalent sentence pairs through complex quality filters based on perplexity and cross-lingual similarity (Vaswani et al., 2017).</w:t>
      </w:r>
    </w:p>
    <w:p>
      <w:pPr>
        <w:spacing w:before="0" w:after="120"/>
        <w:ind w:firstLine="0"/>
        <w:rPr>
          <w:lang w:val="vi-VN"/>
        </w:rPr>
      </w:pPr>
      <w:r>
        <w:t xml:space="preserve"> </w:t>
      </w:r>
      <w:r>
        <w:rPr>
          <w:lang w:val="vi-VN"/>
        </w:rPr>
        <w:t xml:space="preserve"> Regarding the method of collecting and building formatted document data for AI translation systems, most commercial systems combine automatic collection from the web with manual filtering and quality checking by a team of language experts (Park et al., 2021). DeepL partners with academic publishers and professional translation agencies to acquire high-quality bilingual data in specialized fields such as medical, legal and engineering, then processed through an automatic alignment pipeline combined with human review to ensure the quality of bilingual sentence pairs, and finally augmented with back-translation and data synthesis techniques to increase diversity (Hassan et al., 2020). Google uses large-scale collection from Common Crawl combined with automatic language identification and sentence alignment algorithms, but must handle data noise and semantically inequivalent sentence pairs through complex quality filters based on perplexity and cross-lingual similarity (Vaswani et al., 2017).</w:t>
      </w:r>
    </w:p>
    <w:p w14:paraId="531DFAB2">
      <w:pPr>
        <w:pStyle w:val="42"/>
        <w:spacing w:after="0"/>
      </w:pPr>
      <w:r>
        <w:rPr>
          <w:b/>
          <w:bCs/>
        </w:rPr>
        <w:t>Table 2.</w:t>
      </w:r>
      <w:r>
        <w:t xml:space="preserve"> Comparing Methods for Integrating Tarot Data with LLMs |</w:t>
      </w:r>
    </w:p>
    <w:p>
      <w:pPr>
        <w:pStyle w:val="42"/>
        <w:spacing w:before="0" w:after="120"/>
      </w:pPr>
      <w:r>
        <w:rPr>
          <w:b/>
          <w:bCs/>
        </w:rPr>
        <w:t>Table 2.</w:t>
      </w:r>
      <w:r>
        <w:rPr>
          <w:b/>
        </w:rPr>
      </w:r>
      <w:r>
        <w:t xml:space="preserve"> Comparison of Tarot data integration methods with LLM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2067"/>
        <w:gridCol w:w="870"/>
        <w:gridCol w:w="1489"/>
        <w:gridCol w:w="1328"/>
      </w:tblGrid>
      <w:tr w14:paraId="1723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0CE42001">
            <w:pPr>
              <w:spacing w:before="240" w:line="240" w:lineRule="atLeast" w:after="0"/>
              <w:ind w:firstLine="0"/>
              <w:rPr>
                <w:b/>
                <w:bCs/>
                <w:lang w:val="en-GB"/>
              </w:rPr>
            </w:pPr>
            <w:r>
              <w:rPr>
                <w:b/>
                <w:bCs/>
                <w:lang w:val="en-GB"/>
              </w:rPr>
              <w:t>Method</w:t>
            </w:r>
          </w:p>
          <w:p>
            <w:pPr>
              <w:spacing w:before="0" w:line="240" w:lineRule="atLeast" w:after="120"/>
              <w:ind w:firstLine="0"/>
              <w:rPr>
                <w:b/>
                <w:bCs/>
                <w:lang w:val="en-GB"/>
              </w:rPr>
            </w:pPr>
            <w:r>
              <w:rPr>
                <w:b/>
                <w:bCs/>
                <w:lang w:val="en-GB"/>
              </w:rPr>
              <w:t>Method</w:t>
            </w:r>
          </w:p>
        </w:tc>
        <w:tc>
          <w:tcPr>
            <w:tcW w:w="0" w:type="auto"/>
          </w:tcPr>
          <w:p w14:paraId="26AC9018">
            <w:pPr>
              <w:spacing w:before="240" w:line="240" w:lineRule="atLeast" w:after="0"/>
              <w:ind w:firstLine="0"/>
              <w:rPr>
                <w:b/>
                <w:bCs/>
                <w:lang w:val="en-GB"/>
              </w:rPr>
            </w:pPr>
            <w:r>
              <w:rPr>
                <w:b/>
                <w:bCs/>
                <w:lang w:val="en-GB"/>
              </w:rPr>
              <w:t>Cost</w:t>
            </w:r>
          </w:p>
          <w:p>
            <w:pPr>
              <w:spacing w:before="0" w:line="240" w:lineRule="atLeast" w:after="120"/>
              <w:ind w:firstLine="0"/>
              <w:rPr>
                <w:b/>
                <w:bCs/>
                <w:lang w:val="en-GB"/>
              </w:rPr>
            </w:pPr>
            <w:r>
              <w:rPr>
                <w:b/>
                <w:bCs/>
                <w:lang w:val="en-GB"/>
              </w:rPr>
              <w:t>Cost</w:t>
            </w:r>
          </w:p>
        </w:tc>
        <w:tc>
          <w:tcPr>
            <w:tcW w:w="0" w:type="auto"/>
          </w:tcPr>
          <w:p w14:paraId="4520B85E">
            <w:pPr>
              <w:spacing w:before="240" w:line="240" w:lineRule="atLeast" w:after="0"/>
              <w:ind w:firstLine="0"/>
              <w:rPr>
                <w:b/>
                <w:bCs/>
                <w:lang w:val="en-GB"/>
              </w:rPr>
            </w:pPr>
            <w:r>
              <w:rPr>
                <w:b/>
                <w:bCs/>
                <w:lang w:val="en-GB"/>
              </w:rPr>
              <w:t>Complexity</w:t>
            </w:r>
          </w:p>
          <w:p>
            <w:pPr>
              <w:spacing w:before="0" w:line="240" w:lineRule="atLeast" w:after="120"/>
              <w:ind w:firstLine="0"/>
              <w:rPr>
                <w:b/>
                <w:bCs/>
                <w:lang w:val="en-GB"/>
              </w:rPr>
            </w:pPr>
            <w:r>
              <w:rPr>
                <w:b/>
                <w:bCs/>
                <w:lang w:val="en-GB"/>
              </w:rPr>
              <w:t>Complexity</w:t>
            </w:r>
          </w:p>
        </w:tc>
        <w:tc>
          <w:tcPr>
            <w:tcW w:w="0" w:type="auto"/>
          </w:tcPr>
          <w:p w14:paraId="134DCB36">
            <w:pPr>
              <w:spacing w:before="240" w:line="240" w:lineRule="atLeast" w:after="0"/>
              <w:ind w:firstLine="0"/>
              <w:rPr>
                <w:b/>
                <w:bCs/>
                <w:lang w:val="en-GB"/>
              </w:rPr>
            </w:pPr>
            <w:r>
              <w:rPr>
                <w:b/>
                <w:bCs/>
                <w:lang w:val="en-GB"/>
              </w:rPr>
              <w:t>Update capabilities</w:t>
            </w:r>
          </w:p>
          <w:p>
            <w:pPr>
              <w:spacing w:before="0" w:line="240" w:lineRule="atLeast" w:after="120"/>
              <w:ind w:firstLine="0"/>
              <w:rPr>
                <w:b/>
                <w:bCs/>
                <w:lang w:val="en-GB"/>
              </w:rPr>
            </w:pPr>
            <w:r>
              <w:rPr>
                <w:b/>
                <w:bCs/>
                <w:lang w:val="en-GB"/>
              </w:rPr>
              <w:t>Update capabilities</w:t>
            </w:r>
          </w:p>
        </w:tc>
        <w:tc>
          <w:tcPr>
            <w:tcW w:w="0" w:type="auto"/>
          </w:tcPr>
          <w:p w14:paraId="2A79A106">
            <w:pPr>
              <w:spacing w:before="240" w:line="240" w:lineRule="atLeast" w:after="0"/>
              <w:ind w:firstLine="0"/>
              <w:rPr>
                <w:b/>
                <w:bCs/>
                <w:lang w:val="en-GB"/>
              </w:rPr>
            </w:pPr>
            <w:r>
              <w:rPr>
                <w:b/>
                <w:bCs/>
                <w:lang w:val="en-GB"/>
              </w:rPr>
              <w:t>Quality</w:t>
            </w:r>
          </w:p>
          <w:p>
            <w:pPr>
              <w:spacing w:before="0" w:line="240" w:lineRule="atLeast" w:after="120"/>
              <w:ind w:firstLine="0"/>
              <w:rPr>
                <w:b/>
                <w:bCs/>
                <w:lang w:val="en-GB"/>
              </w:rPr>
            </w:pPr>
            <w:r>
              <w:rPr>
                <w:b/>
                <w:bCs/>
                <w:lang w:val="en-GB"/>
              </w:rPr>
              <w:t>Quality</w:t>
            </w:r>
          </w:p>
        </w:tc>
      </w:tr>
      <w:tr w14:paraId="75FB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3A484443">
            <w:pPr>
              <w:spacing w:before="240" w:line="240" w:lineRule="atLeast"/>
              <w:ind w:firstLine="0"/>
              <w:rPr>
                <w:lang w:val="en-GB"/>
              </w:rPr>
            </w:pPr>
            <w:r>
              <w:rPr>
                <w:lang w:val="en-GB"/>
              </w:rPr>
              <w:t>Prompt Engineering</w:t>
            </w:r>
          </w:p>
        </w:tc>
        <w:tc>
          <w:tcPr>
            <w:tcW w:w="0" w:type="auto"/>
          </w:tcPr>
          <w:p w14:paraId="016F8C1F">
            <w:pPr>
              <w:spacing w:before="240" w:line="240" w:lineRule="atLeast" w:after="0"/>
              <w:ind w:firstLine="0"/>
              <w:rPr>
                <w:lang w:val="en-GB"/>
              </w:rPr>
            </w:pPr>
            <w:r>
              <w:rPr>
                <w:lang w:val="en-GB"/>
              </w:rPr>
              <w:t>Low ($0.03–0.06/1K tokens)</w:t>
            </w:r>
          </w:p>
          <w:p>
            <w:pPr>
              <w:spacing w:before="0" w:line="240" w:lineRule="atLeast" w:after="120"/>
              <w:ind w:firstLine="0"/>
              <w:rPr>
                <w:lang w:val="en-GB"/>
              </w:rPr>
            </w:pPr>
            <w:r>
              <w:rPr>
                <w:lang w:val="en-GB"/>
              </w:rPr>
              <w:t>Low ($0.03–0.06/1K tokens)</w:t>
            </w:r>
          </w:p>
        </w:tc>
        <w:tc>
          <w:tcPr>
            <w:tcW w:w="0" w:type="auto"/>
          </w:tcPr>
          <w:p w14:paraId="2F5F2335">
            <w:pPr>
              <w:spacing w:before="240" w:line="240" w:lineRule="atLeast" w:after="0"/>
              <w:ind w:firstLine="0"/>
              <w:rPr>
                <w:lang w:val="en-GB"/>
              </w:rPr>
            </w:pPr>
            <w:r>
              <w:rPr>
                <w:lang w:val="en-GB"/>
              </w:rPr>
              <w:t>Low</w:t>
            </w:r>
          </w:p>
          <w:p>
            <w:pPr>
              <w:spacing w:before="0" w:line="240" w:lineRule="atLeast" w:after="120"/>
              <w:ind w:firstLine="0"/>
              <w:rPr>
                <w:lang w:val="en-GB"/>
              </w:rPr>
            </w:pPr>
            <w:r>
              <w:rPr>
                <w:lang w:val="en-GB"/>
              </w:rPr>
              <w:t>Low</w:t>
            </w:r>
          </w:p>
        </w:tc>
        <w:tc>
          <w:tcPr>
            <w:tcW w:w="0" w:type="auto"/>
          </w:tcPr>
          <w:p w14:paraId="6FD66698">
            <w:pPr>
              <w:spacing w:before="240" w:line="240" w:lineRule="atLeast" w:after="0"/>
              <w:ind w:firstLine="0"/>
              <w:rPr>
                <w:lang w:val="en-GB"/>
              </w:rPr>
            </w:pPr>
            <w:r>
              <w:rPr>
                <w:lang w:val="en-GB"/>
              </w:rPr>
              <w:t>Very easy (edit prompt)</w:t>
            </w:r>
          </w:p>
          <w:p>
            <w:pPr>
              <w:spacing w:before="0" w:line="240" w:lineRule="atLeast" w:after="120"/>
              <w:ind w:firstLine="0"/>
              <w:rPr>
                <w:lang w:val="en-GB"/>
              </w:rPr>
            </w:pPr>
            <w:r>
              <w:rPr>
                <w:lang w:val="en-GB"/>
              </w:rPr>
              <w:t>Very easy (edit prompt)</w:t>
            </w:r>
          </w:p>
        </w:tc>
        <w:tc>
          <w:tcPr>
            <w:tcW w:w="0" w:type="auto"/>
          </w:tcPr>
          <w:p w14:paraId="0F2ABF5C">
            <w:pPr>
              <w:spacing w:before="240" w:line="240" w:lineRule="atLeast" w:after="0"/>
              <w:ind w:firstLine="0"/>
              <w:rPr>
                <w:lang w:val="en-GB"/>
              </w:rPr>
            </w:pPr>
            <w:r>
              <w:rPr>
                <w:lang w:val="en-GB"/>
              </w:rPr>
              <w:t>Good for general documents</w:t>
            </w:r>
          </w:p>
          <w:p>
            <w:pPr>
              <w:spacing w:before="0" w:line="240" w:lineRule="atLeast" w:after="120"/>
              <w:ind w:firstLine="0"/>
              <w:rPr>
                <w:lang w:val="en-GB"/>
              </w:rPr>
            </w:pPr>
            <w:r>
              <w:rPr>
                <w:lang w:val="en-GB"/>
              </w:rPr>
              <w:t>Good for general documents</w:t>
            </w:r>
          </w:p>
        </w:tc>
      </w:tr>
      <w:tr w14:paraId="7EA8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599E59AD">
            <w:pPr>
              <w:spacing w:before="240" w:line="240" w:lineRule="atLeast" w:after="0"/>
              <w:ind w:firstLine="0"/>
              <w:rPr>
                <w:lang w:val="en-GB"/>
              </w:rPr>
            </w:pPr>
            <w:r>
              <w:rPr>
                <w:lang w:val="en-GB"/>
              </w:rPr>
              <w:t xml:space="preserve">Fine-tuning</w:t>
            </w:r>
          </w:p>
          <w:p>
            <w:pPr>
              <w:spacing w:before="0" w:line="240" w:lineRule="atLeast" w:after="120"/>
              <w:ind w:firstLine="0"/>
              <w:rPr>
                <w:lang w:val="en-GB"/>
              </w:rPr>
            </w:pPr>
            <w:r>
              <w:rPr>
                <w:lang w:val="en-GB"/>
              </w:rPr>
              <w:t>Fine-tuning</w:t>
            </w:r>
          </w:p>
        </w:tc>
        <w:tc>
          <w:tcPr>
            <w:tcW w:w="0" w:type="auto"/>
          </w:tcPr>
          <w:p w14:paraId="2AE321FB">
            <w:pPr>
              <w:spacing w:before="240" w:line="240" w:lineRule="atLeast" w:after="0"/>
              <w:ind w:firstLine="0"/>
              <w:rPr>
                <w:lang w:val="en-GB"/>
              </w:rPr>
            </w:pPr>
            <w:r>
              <w:rPr>
                <w:lang w:val="en-GB"/>
              </w:rPr>
              <w:t>Very high ($500–5,000/model)</w:t>
            </w:r>
          </w:p>
          <w:p>
            <w:pPr>
              <w:spacing w:before="0" w:line="240" w:lineRule="atLeast" w:after="120"/>
              <w:ind w:firstLine="0"/>
              <w:rPr>
                <w:lang w:val="en-GB"/>
              </w:rPr>
            </w:pPr>
            <w:r>
              <w:rPr>
                <w:lang w:val="en-GB"/>
              </w:rPr>
              <w:t>Very high ($500–5,000/model)</w:t>
            </w:r>
          </w:p>
        </w:tc>
        <w:tc>
          <w:tcPr>
            <w:tcW w:w="0" w:type="auto"/>
          </w:tcPr>
          <w:p w14:paraId="669B75BE">
            <w:pPr>
              <w:spacing w:before="240" w:line="240" w:lineRule="atLeast"/>
              <w:ind w:firstLine="0"/>
              <w:rPr>
                <w:lang w:val="en-GB"/>
              </w:rPr>
            </w:pPr>
            <w:r>
              <w:rPr>
                <w:lang w:val="en-GB"/>
              </w:rPr>
              <w:t>High</w:t>
            </w:r>
          </w:p>
        </w:tc>
        <w:tc>
          <w:tcPr>
            <w:tcW w:w="0" w:type="auto"/>
          </w:tcPr>
          <w:p w14:paraId="7500F8E0">
            <w:pPr>
              <w:spacing w:before="240" w:line="240" w:lineRule="atLeast" w:after="0"/>
              <w:ind w:firstLine="0"/>
              <w:rPr>
                <w:lang w:val="en-GB"/>
              </w:rPr>
            </w:pPr>
            <w:r>
              <w:rPr>
                <w:lang w:val="en-GB"/>
              </w:rPr>
              <w:t>Difficult (requires retraining)</w:t>
            </w:r>
          </w:p>
          <w:p>
            <w:pPr>
              <w:spacing w:before="0" w:line="240" w:lineRule="atLeast" w:after="120"/>
              <w:ind w:firstLine="0"/>
              <w:rPr>
                <w:lang w:val="en-GB"/>
              </w:rPr>
            </w:pPr>
            <w:r>
              <w:rPr>
                <w:lang w:val="en-GB"/>
              </w:rPr>
              <w:t>Difficult (requires retraining)</w:t>
            </w:r>
          </w:p>
        </w:tc>
        <w:tc>
          <w:tcPr>
            <w:tcW w:w="0" w:type="auto"/>
          </w:tcPr>
          <w:p w14:paraId="41589712">
            <w:pPr>
              <w:spacing w:before="240" w:line="240" w:lineRule="atLeast" w:after="0"/>
              <w:ind w:firstLine="0"/>
              <w:rPr>
                <w:lang w:val="en-GB"/>
              </w:rPr>
            </w:pPr>
            <w:r>
              <w:rPr>
                <w:lang w:val="en-GB"/>
              </w:rPr>
              <w:t>Best for majors</w:t>
            </w:r>
          </w:p>
          <w:p>
            <w:pPr>
              <w:spacing w:before="0" w:line="240" w:lineRule="atLeast" w:after="120"/>
              <w:ind w:firstLine="0"/>
              <w:rPr>
                <w:lang w:val="en-GB"/>
              </w:rPr>
            </w:pPr>
            <w:r>
              <w:rPr>
                <w:lang w:val="en-GB"/>
              </w:rPr>
              <w:t>Best for majors</w:t>
            </w:r>
          </w:p>
        </w:tc>
      </w:tr>
      <w:tr w14:paraId="31AC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1D1FCB16">
            <w:pPr>
              <w:spacing w:before="240" w:line="240" w:lineRule="atLeast"/>
              <w:ind w:firstLine="0"/>
              <w:rPr>
                <w:lang w:val="en-GB"/>
              </w:rPr>
            </w:pPr>
            <w:r>
              <w:rPr>
                <w:lang w:val="en-GB"/>
              </w:rPr>
              <w:t>RAG + Translation</w:t>
            </w:r>
          </w:p>
        </w:tc>
        <w:tc>
          <w:tcPr>
            <w:tcW w:w="0" w:type="auto"/>
          </w:tcPr>
          <w:p w14:paraId="67BEC98E">
            <w:pPr>
              <w:spacing w:before="240" w:line="240" w:lineRule="atLeast" w:after="0"/>
              <w:ind w:firstLine="0"/>
              <w:rPr>
                <w:lang w:val="en-GB"/>
              </w:rPr>
            </w:pPr>
            <w:r>
              <w:rPr>
                <w:lang w:val="en-GB"/>
              </w:rPr>
              <w:t>Average ($0.05–0.10/query)</w:t>
            </w:r>
          </w:p>
          <w:p>
            <w:pPr>
              <w:spacing w:before="0" w:line="240" w:lineRule="atLeast" w:after="120"/>
              <w:ind w:firstLine="0"/>
              <w:rPr>
                <w:lang w:val="en-GB"/>
              </w:rPr>
            </w:pPr>
            <w:r>
              <w:rPr>
                <w:lang w:val="en-GB"/>
              </w:rPr>
              <w:t>Average ($0.05–0.10/query)</w:t>
            </w:r>
          </w:p>
        </w:tc>
        <w:tc>
          <w:tcPr>
            <w:tcW w:w="0" w:type="auto"/>
          </w:tcPr>
          <w:p w14:paraId="1D474021">
            <w:pPr>
              <w:spacing w:before="240" w:line="240" w:lineRule="atLeast" w:after="0"/>
              <w:ind w:firstLine="0"/>
              <w:rPr>
                <w:lang w:val="en-GB"/>
              </w:rPr>
            </w:pPr>
            <w:r>
              <w:rPr>
                <w:lang w:val="en-GB"/>
              </w:rPr>
              <w:t xml:space="preserve">Trung bình</w:t>
            </w:r>
          </w:p>
          <w:p>
            <w:pPr>
              <w:spacing w:before="0" w:line="240" w:lineRule="atLeast" w:after="120"/>
              <w:ind w:firstLine="0"/>
              <w:rPr>
                <w:lang w:val="en-GB"/>
              </w:rPr>
            </w:pPr>
            <w:r>
              <w:rPr>
                <w:lang w:val="en-GB"/>
              </w:rPr>
              <w:t>Average</w:t>
            </w:r>
          </w:p>
        </w:tc>
        <w:tc>
          <w:tcPr>
            <w:tcW w:w="0" w:type="auto"/>
          </w:tcPr>
          <w:p w14:paraId="5173E8E9">
            <w:pPr>
              <w:spacing w:before="240" w:line="240" w:lineRule="atLeast" w:after="0"/>
              <w:ind w:firstLine="0"/>
              <w:rPr>
                <w:lang w:val="en-GB"/>
              </w:rPr>
            </w:pPr>
            <w:r>
              <w:rPr>
                <w:lang w:val="en-GB"/>
              </w:rPr>
              <w:t xml:space="preserve">Dễ (thêm documents)</w:t>
            </w:r>
          </w:p>
          <w:p>
            <w:pPr>
              <w:spacing w:before="0" w:line="240" w:lineRule="atLeast" w:after="120"/>
              <w:ind w:firstLine="0"/>
              <w:rPr>
                <w:lang w:val="en-GB"/>
              </w:rPr>
            </w:pPr>
            <w:r>
              <w:rPr>
                <w:lang w:val="en-GB"/>
              </w:rPr>
              <w:t>Easy (add documents)</w:t>
            </w:r>
          </w:p>
        </w:tc>
        <w:tc>
          <w:tcPr>
            <w:tcW w:w="0" w:type="auto"/>
          </w:tcPr>
          <w:p w14:paraId="66BB11F4">
            <w:pPr>
              <w:spacing w:before="240" w:line="240" w:lineRule="atLeast" w:after="0"/>
              <w:ind w:firstLine="0"/>
              <w:rPr>
                <w:lang w:val="en-GB"/>
              </w:rPr>
            </w:pPr>
            <w:r>
              <w:rPr>
                <w:lang w:val="en-GB"/>
              </w:rPr>
              <w:t>Rất tốt khi retrieve chính xác</w:t>
            </w:r>
          </w:p>
          <w:p>
            <w:pPr>
              <w:spacing w:before="0" w:line="240" w:lineRule="atLeast" w:after="120"/>
              <w:ind w:firstLine="0"/>
              <w:rPr>
                <w:lang w:val="en-GB"/>
              </w:rPr>
            </w:pPr>
            <w:r>
              <w:rPr>
                <w:lang w:val="en-GB"/>
              </w:rPr>
              <w:t>Very good when retrieving accurately</w:t>
            </w:r>
          </w:p>
        </w:tc>
      </w:tr>
      <w:tr w14:paraId="019A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0" w:type="auto"/>
          </w:tcPr>
          <w:p w14:paraId="45811840">
            <w:pPr>
              <w:spacing w:before="240" w:line="240" w:lineRule="atLeast" w:after="0"/>
              <w:ind w:firstLine="0"/>
              <w:rPr>
                <w:lang w:val="en-GB"/>
              </w:rPr>
            </w:pPr>
            <w:r>
              <w:rPr>
                <w:lang w:val="en-GB"/>
              </w:rPr>
              <w:t xml:space="preserve">Hybrid Pipeline</w:t>
            </w:r>
          </w:p>
          <w:p>
            <w:pPr>
              <w:spacing w:before="0" w:line="240" w:lineRule="atLeast" w:after="120"/>
              <w:ind w:firstLine="0"/>
              <w:rPr>
                <w:lang w:val="en-GB"/>
              </w:rPr>
            </w:pPr>
            <w:r>
              <w:rPr>
                <w:lang w:val="en-GB"/>
              </w:rPr>
              <w:t>Hybrid Pipelines</w:t>
            </w:r>
          </w:p>
        </w:tc>
        <w:tc>
          <w:tcPr>
            <w:tcW w:w="0" w:type="auto"/>
          </w:tcPr>
          <w:p w14:paraId="048C38D4">
            <w:pPr>
              <w:spacing w:before="240" w:line="240" w:lineRule="atLeast" w:after="0"/>
              <w:ind w:firstLine="0"/>
              <w:rPr>
                <w:lang w:val="en-GB"/>
              </w:rPr>
            </w:pPr>
            <w:r>
              <w:rPr>
                <w:lang w:val="en-GB"/>
              </w:rPr>
              <w:t xml:space="preserve">Trung bình–Cao</w:t>
            </w:r>
          </w:p>
          <w:p>
            <w:pPr>
              <w:spacing w:before="0" w:line="240" w:lineRule="atLeast" w:after="120"/>
              <w:ind w:firstLine="0"/>
              <w:rPr>
                <w:lang w:val="en-GB"/>
              </w:rPr>
            </w:pPr>
            <w:r>
              <w:rPr>
                <w:lang w:val="en-GB"/>
              </w:rPr>
              <w:t>Medium–High</w:t>
            </w:r>
          </w:p>
        </w:tc>
        <w:tc>
          <w:tcPr>
            <w:tcW w:w="0" w:type="auto"/>
          </w:tcPr>
          <w:p w14:paraId="126CCDDF">
            <w:pPr>
              <w:spacing w:before="240" w:line="240" w:lineRule="atLeast"/>
              <w:ind w:firstLine="0"/>
              <w:rPr>
                <w:lang w:val="en-GB"/>
              </w:rPr>
            </w:pPr>
            <w:r>
              <w:rPr>
                <w:lang w:val="en-GB"/>
              </w:rPr>
              <w:t>Cao</w:t>
            </w:r>
          </w:p>
        </w:tc>
        <w:tc>
          <w:tcPr>
            <w:tcW w:w="0" w:type="auto"/>
          </w:tcPr>
          <w:p w14:paraId="7322A7F8">
            <w:pPr>
              <w:spacing w:before="240" w:line="240" w:lineRule="atLeast" w:after="0"/>
              <w:ind w:firstLine="0"/>
              <w:rPr>
                <w:lang w:val="en-GB"/>
              </w:rPr>
            </w:pPr>
            <w:r>
              <w:rPr>
                <w:lang w:val="en-GB"/>
              </w:rPr>
              <w:t xml:space="preserve">Linh hoạt</w:t>
            </w:r>
          </w:p>
          <w:p>
            <w:pPr>
              <w:spacing w:before="0" w:line="240" w:lineRule="atLeast" w:after="120"/>
              <w:ind w:firstLine="0"/>
              <w:rPr>
                <w:lang w:val="en-GB"/>
              </w:rPr>
            </w:pPr>
            <w:r>
              <w:rPr>
                <w:lang w:val="en-GB"/>
              </w:rPr>
              <w:t>Flexible</w:t>
            </w:r>
          </w:p>
        </w:tc>
        <w:tc>
          <w:tcPr>
            <w:tcW w:w="0" w:type="auto"/>
          </w:tcPr>
          <w:p w14:paraId="1392CBA2">
            <w:pPr>
              <w:spacing w:before="240" w:line="240" w:lineRule="atLeast" w:after="0"/>
              <w:ind w:firstLine="0"/>
              <w:rPr>
                <w:lang w:val="en-GB"/>
              </w:rPr>
            </w:pPr>
            <w:r>
              <w:rPr>
                <w:lang w:val="en-GB"/>
              </w:rPr>
              <w:t xml:space="preserve">Tốt nhất overall</w:t>
            </w:r>
          </w:p>
          <w:p>
            <w:pPr>
              <w:spacing w:before="0" w:line="240" w:lineRule="atLeast" w:after="120"/>
              <w:ind w:firstLine="0"/>
              <w:rPr>
                <w:lang w:val="en-GB"/>
              </w:rPr>
            </w:pPr>
            <w:r>
              <w:rPr>
                <w:lang w:val="en-GB"/>
              </w:rPr>
              <w:t>Best overall</w:t>
            </w:r>
          </w:p>
        </w:tc>
      </w:tr>
    </w:tbl>
    <w:p w14:paraId="1BDEBB1C">
      <w:pPr>
        <w:spacing w:before="240" w:after="0"/>
        <w:ind w:firstLine="0"/>
        <w:rPr>
          <w:lang w:val="vi-VN"/>
        </w:rPr>
      </w:pPr>
      <w:r>
        <w:t>Các thách thức còn tồn tại trong quản lý dữ liệu cho hệ thống dịch tài liệu AI bao gồm vấn đề bản quyền khi sử dụng tài liệu từ nhà xuất bản, thiếu chuẩn hóa trong annotation định dạng giữa các dataset khác nhau gây khó khăn cho việc benchmark thống nhất, nhu cầu cập nhật liên tục để phản ánh sự thay đổi của ngôn ngữ và thuật ngữ chuyên ngành, và sự đánh đổi giữa tính xác thực truyền thống và sự phù hợp hiện đại trong các bản dịch tài liệu lịch sử (Hassan và cộng sự, 2020; Smith, 2019).</w:t>
      </w:r>
    </w:p>
    <w:p>
      <w:pPr>
        <w:spacing w:before="0" w:after="120"/>
        <w:ind w:firstLine="0"/>
        <w:rPr>
          <w:lang w:val="vi-VN"/>
        </w:rPr>
      </w:pPr>
      <w:r>
        <w:t>Remaining challenges in data management for AI document translation systems include copyright issues when using documents from publishers, lack of standardization in format annotation across different datasets making consistent benchmarking difficult, the need for continuous updates to reflect changes in language and specialized terminology, and the trade-off between traditional authenticity and modern relevance in historical document translations (Hassan et al., 2020; Smith, 2020; Smith, 2020). 2019).</w:t>
      </w:r>
    </w:p>
    <w:p w14:paraId="17884A54">
      <w:pPr>
        <w:pStyle w:val="28"/>
        <w:spacing w:after="0"/>
      </w:pPr>
      <w:r>
        <w:t>Hướng Tiếp Cận Nghiên Cứu</w:t>
      </w:r>
    </w:p>
    <w:p>
      <w:pPr>
        <w:pStyle w:val="28"/>
        <w:spacing w:before="0" w:after="120"/>
      </w:pPr>
      <w:r>
        <w:t>Research Approach</w:t>
      </w:r>
    </w:p>
    <w:p w14:paraId="629842FE">
      <w:pPr>
        <w:pStyle w:val="3"/>
        <w:spacing w:after="0"/>
      </w:pPr>
      <w:r>
        <w:t>Trong lĩnh vực dịch thuật tài liệu sử dụng trí tuệ nhân tạo với khả năng bảo toàn định dạng, các nghiên cứu và triển khai ứng dụng từ năm 2016 đến nay đã áp dụng ba hướng tiếp cận công nghệ chính với mức độ phức tạp và hiệu quả khác nhau, phản ánh quá trình phát triển nhanh chóng của lĩnh vực xử lý ngôn ngữ tự nhiên và thị giác máy tính (Hassan và cộng sự, 2020; Smith, 2019). Phân tích các tài liệu nghiên cứu cho thấy sự chuyển dịch rõ rệt từ các phương pháp thống kê truyền thống sang các giải pháp dựa trên mạng nơ-ron và mô hình ngôn ngữ lớn, song song với sự phát triển của các kỹ thuật phân tích tài liệu có cấu trúc cho phép xử lý các thành phần định dạng phức tạp một cách tự động và chính xác hơn (Vaswani và cộng sự, 2017; Park và cộng sự, 2021). Điểm khác biệt căn bản so với các hệ thống dịch thuật văn bản thuần túy là bài toán dịch tài liệu có định dạng đòi hỏi giải quyết đồng thời hai vấn đề độc lập nhưng liên quan mật thiết: chất lượng dịch thuật ngữ nghĩa và tính toàn vẹn của cấu trúc trình bày, trong đó việc tối ưu hóa một chiều thường ảnh hưởng đến chiều còn lại (Sato, 2025; Hassan và cộng sự, 2020).</w:t>
      </w:r>
    </w:p>
    <w:p>
      <w:pPr>
        <w:pStyle w:val="3"/>
        <w:spacing w:before="0" w:after="120"/>
      </w:pPr>
      <w:r>
        <w:t>In the field of document translation using artificial intelligence with format preservation capabilities, research and practical applications from 2016 to the present have employed three main technological approaches with varying levels of complexity and efficiency, reflecting the rapid development of the fields of natural language processing and computer vision (Hassan et al., 2020; Smith, 2019). An analysis of research literature reveals a clear shift from traditional statistical methods toward solutions based on neural networks and large language models, accompanied by the development of structured document analysis techniques that enable more accurate and automated processing of complex formatting elements (Vaswani et al., 2017; Park et al., 2021). The fundamental difference from pure text translation systems is that the problem of translating formatted documents requires simultaneously solving two independent but closely related issues: semantic translation quality and the integrity of the presentation structure, where optimizing one aspect often affects the other (Sato, 2025; Hassan et al., 2020).</w:t>
      </w:r>
    </w:p>
    <w:p w14:paraId="064EF93F">
      <w:pPr>
        <w:rPr>
          <w:lang w:val="vi-VN"/>
        </w:rPr>
        <w:spacing w:after="0"/>
      </w:pPr>
      <w:r>
        <w:t>Published research on AI document translation systems is categorized into three main groups based on core technology. The statistical machine translation (SMT) approach emerged earliest and is still used in some resource-constrained embedded systems. The neural machine translation (NMT) approach, based on an encoder-decoder architecture with an attention mechanism, became the de facto standard in 2017 following the publication of “Attention Is All You Need” by Vaswani et al. The large language model (LLM)-based approach has dominated since 2020, when GPT-3 demonstrated its ability to perform few-shot translation without the need for fine-tuning on specialized bilingual data (Vaswani et al., 2017; Sato, 2025).</w:t>
      </w:r>
    </w:p>
    <w:p>
      <w:pPr>
        <w:rPr>
          <w:lang w:val="vi-VN"/>
        </w:rPr>
        <w:spacing w:before="0" w:after="120"/>
      </w:pPr>
      <w:r>
        <w:t>Published research on AI document translation systems is classified into three main groups based on the core technology. The statistical machine translation (SMT) approach emerged earliest and is still used in some resource-constrained embedded systems. The neural machine translation (NMT) approach, based on an encoder-decoder architecture with an attention mechanism, became the standard in 2017 following the publication of the paper “Attention Is All You Need” by Vaswani et al. Large language model-based approaches have been dominant since 2020, when GPT-3 demonstrated few-shot translation capabilities without fine-tuning on specialized bilingual data (Vaswani et al., 2017; Sato, 2025).</w:t>
      </w:r>
    </w:p>
    <w:p w14:paraId="79E8A0BC">
      <w:pPr>
        <w:rPr>
          <w:lang w:val="vi-VN"/>
        </w:rPr>
        <w:spacing w:after="0"/>
      </w:pPr>
      <w:r>
        <w:t>The statistical machine translation (SMT) approach was the method used before the era of deep learning began; it relies on probabilistic models trained on large-scale bilingual data to find the translation with the highest probability for a given source sentence (Smith, 2019). Under this approach, the system is designed to operate by breaking the source sentence into smaller translation units called phrases, searching for corresponding phrases in a phrase table built from bilingual training data, and combining them into a complete translation according to the target language model (Hassan et al., 2020). The main advantages of this method, as highlighted by studies, include transparency in the translation process, which allows for manual review and intervention, low computational cost during inference, making it suitable for resource-constrained environments; the ability to directly integrate expert-built dictionaries and linguistic rules; and the lack of a need for dedicated GPUs for deployment. However, studies also point out significant limitations, including translation quality that is generally inferior to NMT for most language pairs due to the inability to model long-range context, an inability to handle complex grammatical structures with significant differences between the source and target languages, and, in particular, the lack of a natural mechanism for processing formatting information accompanying the text (Park et al., 2021). Research by Hassan et al. (2020) shows that SMT systems achieve an average BLEU score that is 8 to 12 points lower than NMT on standard WMT test sets, while the formatting preservation rate reached only 62% in tests with DOCX documents due to the lack of a mapping mechanism between translation units and corresponding formatting elements.</w:t>
      </w:r>
    </w:p>
    <w:p>
      <w:pPr>
        <w:rPr>
          <w:lang w:val="vi-VN"/>
        </w:rPr>
        <w:spacing w:before="0" w:after="120"/>
      </w:pPr>
      <w:r>
        <w:t>The statistical machine translation (SMT) approach is a method used before the deep learning era began, based on probabilistic models that learn from large-scale bilingual data to find the highest probability translation for a given source sentence (Smith, 2019). In this approach, the system is designed to work by decomposing source sentences into smaller translation units called phrases, searching for corresponding phrases in a phrase table built from bilingual training data, and combining them into a complete translation according to the target language model (Hassan et al., 2020). The main advantages of this method highlighted by studies are transparency in the translation process that allows manual checking and intervention, low computational costs when inference is suitable for resource-poor environments, the ability to directly integrate dictionaries and linguistic rules built by experts, and no need for a dedicated GPU for implementation. However, studies also point out significant limitations including translation quality that is often worse than NMT in most language pairs due to not modeling long contexts, lack of ability to handle complex grammatical structures with large differences between source and target languages, and especially no natural mechanism to process formatting information attached to the text (Park et al., 2021). Research by Hassan et al. (2020) shows that the SMT system achieves an average BLEU score 8 to 12 points lower than NMT on the WMT standard test suites, and the format preservation rate is only 62% in testing with DOCX documents due to the lack of mapping mechanism between translation units and corresponding format components.</w:t>
      </w:r>
    </w:p>
    <w:p w14:paraId="01D25EF2">
      <w:pPr>
        <w:pStyle w:val="28"/>
        <w:spacing w:after="0"/>
      </w:pPr>
      <w:r>
        <w:t>Chỉ Số Đánh Giá</w:t>
      </w:r>
    </w:p>
    <w:p>
      <w:pPr>
        <w:pStyle w:val="28"/>
        <w:spacing w:before="0" w:after="120"/>
      </w:pPr>
      <w:r>
        <w:t>Rating Index</w:t>
      </w:r>
    </w:p>
    <w:p w14:paraId="1F3B615A">
      <w:pPr>
        <w:pStyle w:val="3"/>
        <w:spacing w:after="0"/>
      </w:pPr>
      <w:r>
        <w:t>Các nghiên cứu hiện có về hệ thống dịch tài liệu AI cho thấy xu hướng xây dựng các khung đánh giá đa chiều, kết hợp phương pháp định lượng và định tính nhằm đo lường đồng thời chất lượng dịch thuật ngữ nghĩa và mức độ bảo toàn định dạng tài liệu gốc, hai khía cạnh không thể tách rời trong đánh giá tổng thể hiệu quả hệ thống (Vaswani và cộng sự, 2017; Hassan và cộng sự, 2020). Tổng hợp tài liệu cho thấy các khung đánh giá thường được hình thành dựa trên năm nhóm chỉ số chính gồm chất lượng dịch thuật ngữ nghĩa, mức độ bảo toàn định dạng, trải nghiệm người dùng, hiệu suất kỹ thuật và tuân thủ đạo đức, trong đó có sự kết hợp giữa các chỉ số chung được sử dụng rộng rãi trong đánh giá hệ thống dịch máy như BLEU Score, TER và METEOR, cùng với các chỉ số đặc thù phản ánh bài toán bảo toàn định dạng tài liệu như Format Preservation Rate, Layout Accuracy và Structure Integrity (Smith, 2019; Park và cộng sự, 2021). Nhóm chỉ số chất lượng dịch thuật được các nghiên cứu sử dụng để đánh giá mức độ tương đương ngữ nghĩa giữa bản dịch tự động và bản dịch tham chiếu, qua đó chỉ ra thách thức cốt lõi trong việc cân bằng giữa tính trung thực với văn bản gốc và tính tự nhiên trong ngôn ngữ đích, đặc biệt quan trọng đối với các tài liệu kỹ thuật đòi hỏi độ chính xác thuật ngữ tuyệt đối (Hassan và cộng sự, 2020; Sato, 2025).</w:t>
      </w:r>
    </w:p>
    <w:p>
      <w:pPr>
        <w:pStyle w:val="3"/>
        <w:spacing w:before="0" w:after="120"/>
      </w:pPr>
      <w:r>
        <w:t>Existing studies on AI document translation systems show a trend toward developing multidimensional evaluation frameworks that combine quantitative and qualitative methods to simultaneously measure the quality of semantic translation and the degree to which the original document format is preserved—two inseparable aspects in the overall assessment of system effectiveness (Vaswani et al., 2017; Hassan et al., 2020). A literature review reveals that evaluation frameworks are often structured around five main groups of indicators: semantic translation quality, level of format preservation, user experience, technical performance, and ethical compliance. These frameworks typically include a combination of general indicators widely used in evaluating machine translation systems—such as the BLEU Score, TER, and METEOR— along with specific indicators addressing the issue of document format preservation, such as Format Preservation Rate, Layout Accuracy, and Structure Integrity (Smith, 2019; Park et al., 2021). The group of translation quality indicators is used by studies to evaluate the level of semantic equivalence between automatic translation and reference translation, thereby highlighting the core challenge of balancing fidelity to the source text and naturalness in the target language—a factor particularly important for technical documents that require absolute terminological accuracy (Hassan et al., 2020; Sato, 2025).</w:t>
      </w:r>
    </w:p>
    <w:p w14:paraId="17B1EC00">
      <w:pPr>
        <w:pStyle w:val="28"/>
        <w:spacing w:after="0"/>
      </w:pPr>
      <w:r>
        <w:t>Conclusion</w:t>
      </w:r>
    </w:p>
    <w:p>
      <w:pPr>
        <w:pStyle w:val="28"/>
        <w:spacing w:before="0" w:after="120"/>
      </w:pPr>
      <w:r>
        <w:t>Conclusion</w:t>
      </w:r>
    </w:p>
    <w:p w14:paraId="185145E6">
      <w:pPr>
        <w:spacing w:after="0"/>
      </w:pPr>
      <w:r>
        <w:t>This study conducted a comprehensive review of AI-powered format-preserving text translation systems through a systematic analysis of 40 research papers from 2016 to 2025, including both academic studies and technical reports in Vietnamese and English. The research methodology involved the systematic classification and comparison of commercial products, open-source solutions, datasets, technical approaches, and evaluation methods proposed in previous studies. The analysis results reveal three major technological trends in this field, including statistical machine translation, which offers the advantages of transparency and low cost but has limited quality and lacks a mechanism for preserving natural formatting; neural machine translation, which offers superior semantic quality and supports markup-aware translation but has not yet reached the 95% formatting preservation threshold required by businesses; and large language models, which are gaining dominance with successful products such as DeepL—which has over one million business users— Google Cloud Translation, with hundreds of millions of API calls daily, and Adobe Acrobat, which targets the high-end professional segment.</w:t>
      </w:r>
    </w:p>
    <w:p>
      <w:pPr>
        <w:spacing w:before="0" w:after="120"/>
      </w:pPr>
      <w:r>
        <w:t>This study conducted a comprehensive overview of format-preserving text translation systems using artificial intelligence through a systematic analysis of 40 research papers from 2016 to 2025, including academic studies and technical reports in Vietnamese and English. The research method involved systematically classifying and comparing commercial products, open-source code, datasets, technical approaches, and evaluation methods proposed in previous studies. The results of the analysis reveal three main technology trends in this field: statistical machine translation, which offers the advantages of transparency and low cost but suffers from limited quality and a lack of native format preservation mechanisms; neural machine translation, which provides superior semantic quality and supports markup-aware translation but has yet to reach the 95% format preservation threshold required by businesses; and large language models, which are dominant, with successful products such as DeepL reaching over a million enterprise users, Google Cloud Translation processing hundreds of millions of API calls daily, and Adobe Acrobat positioning itself in the high-end professional segment.</w:t>
      </w:r>
    </w:p>
    <w:p w14:paraId="04B7B567">
      <w:pPr>
        <w:rPr>
          <w:lang w:val="vi-VN"/>
        </w:rPr>
        <w:spacing w:after="0"/>
      </w:pPr>
      <w:r>
        <w:t>Regarding the product market and implementation technology, the analysis reveals a clear segmentation among different user groups, with DeepL positioned in the high-quality segment thanks to its two-stage processing pipeline—which separates content from format—and support for 31 languages, Google Cloud Translation focuses on scalability and ecosystem integration with 135 languages, and Adobe Acrobat targets professional users with complex PDF processing needs through deep integration into the Creative Cloud ecosystem. The emergence of open-source projects such as translate-toolkit, py-pdf-translator, and docx-translator since 2019 has enabled the developer community to research and build custom solutions. An analysis of technical approaches shows that an LLM-based pipeline with a temperature of 0.2 and top_p of 0.9 achieves the best translation quality while maintaining the highest format preservation rate in existing tests.</w:t>
      </w:r>
    </w:p>
    <w:p>
      <w:pPr>
        <w:rPr>
          <w:lang w:val="vi-VN"/>
        </w:rPr>
        <w:spacing w:before="0" w:after="120"/>
      </w:pPr>
      <w:r>
        <w:t>Regarding the product market and implementation technology, the analysis reveals a clear differentiation among target groups, with DeepL positioned in the high-quality segment thanks to a two-stage processing pipeline that separates content from format and supports 31 languages, Google Cloud Translation focuses on scalability and ecosystem integration with 135 languages, and Adobe Acrobat targets professional users with complex PDF processing needs through deep integration into the Creative Cloud ecosystem. The emergence of open-source projects such as translate-toolkit, py-pdf-translator, and docx-translator since 2019 has enabled the developer community to research and build custom solutions. Analysis of the technical approach shows that the LLM-based pipeline with a temperature of 0.2 and top_p of 0.9 achieves the best translation quality while maintaining the highest format preservation rate in available tests.</w:t>
      </w:r>
    </w:p>
    <w:p w14:paraId="4BDBC506">
      <w:pPr>
        <w:pStyle w:val="28"/>
        <w:numPr>
          <w:ilvl w:val="0"/>
          <w:numId w:val="0"/>
        </w:numPr>
        <w:ind w:left="567" w:hanging="567"/>
        <w:spacing w:after="0"/>
      </w:pPr>
      <w:r>
        <w:t>References</w:t>
      </w:r>
    </w:p>
    <w:p>
      <w:pPr>
        <w:pStyle w:val="28"/>
        <w:ind w:left="567" w:hanging="567"/>
        <w:spacing w:before="0" w:after="120"/>
      </w:pPr>
      <w:r>
        <w:t>References</w:t>
      </w:r>
    </w:p>
    <w:p w14:paraId="4282B5E5">
      <w:pPr>
        <w:pStyle w:val="37"/>
        <w:spacing w:after="0"/>
      </w:pPr>
      <w:r>
        <w:t>Bahdanau, D., Cho, K., &amp; Bengio, Y. (2015). Neural machine translation by jointly learning to align and translate. International Conference on Learning Representations (ICLR 2015). 0 org/pdf/1409.0473. pdf</w:t>
      </w:r>
    </w:p>
    <w:p>
      <w:pPr>
        <w:pStyle w:val="37"/>
        <w:spacing w:before="0" w:after="120"/>
      </w:pPr>
      <w:r>
        <w:t>Bahdanau, D., Cho, K., &amp; Bengio, Y. (2015). Neural machine translation by jointly learning to align and translate. International Conference on Learning Representations (ICLR 2015). 0 org/pdf/1409.0473. pdf</w:t>
      </w:r>
    </w:p>
    <w:p w14:paraId="2B88FC97">
      <w:pPr>
        <w:pStyle w:val="37"/>
        <w:spacing w:after="0"/>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0 org/W14-3302.pdf</w:t>
      </w:r>
    </w:p>
    <w:p>
      <w:pPr>
        <w:pStyle w:val="37"/>
        <w:spacing w:before="0" w:after="120"/>
      </w:pPr>
      <w:r>
        <w:t>Bojar, O., Buck, C., Federmann, C., Haddow, B., Koehn, P., Leveling, J., Monz, C., Pecina, P., Post, M., Saint-Amand, H., Soricut, R., Specia, L., &amp; Tamchyna, A. (2014). Findings of the 2014 Workshop on Statistical Machine Translation. Proceedings of the Ninth Workshop on Statistical Machine Translation, 12–58. 0 org/W14-3302. pdf</w:t>
      </w:r>
    </w:p>
    <w:p w14:paraId="414F03FF">
      <w:pPr>
        <w:pStyle w:val="37"/>
        <w:spacing w:after="0"/>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0 org/pdf/2005.14165. pdf</w:t>
      </w:r>
    </w:p>
    <w:p>
      <w:pPr>
        <w:pStyle w:val="37"/>
        <w:spacing w:before="0" w:after="120"/>
      </w:pPr>
      <w:r>
        <w:t>Brown, T., Mann, B., Ryder, N., Subbiah, M., Kaplan, J., Dhariwal, P., Neelakantan, A., Shyam, P., Sastry, G., Askell, A., Agarwal, S., Herbert-Voss, A., Krueger, G., Henighan, T., Child, R., Ramesh, A., Ziegler, D., Wu, J., Winter, C., &amp; Amodei, D. (2020). Language models are few-shot learners. Advances in Neural Information Processing Systems, 33, 1877–1901. 0 org/pdf/2005.14165. pdf</w:t>
      </w:r>
    </w:p>
    <w:p w14:paraId="2AA11748">
      <w:pPr>
        <w:pStyle w:val="37"/>
        <w:spacing w:after="0"/>
      </w:pPr>
      <w:r>
        <w:t>Chiang, D. (2007). Hierarchical phrase-based translation. Computational Linguistics, 33(2), 201–228. 0 org/J07-2003. pdf</w:t>
      </w:r>
    </w:p>
    <w:p>
      <w:pPr>
        <w:pStyle w:val="37"/>
        <w:spacing w:before="0" w:after="120"/>
      </w:pPr>
      <w:r>
        <w:t>Chiang, D. (2007). Hierarchical phrase-based translation. Computational Linguistics, 33(2), 201–228. 0 org/J07-2003. pdf</w:t>
      </w:r>
    </w:p>
    <w:p w14:paraId="0106FC9A">
      <w:pPr>
        <w:pStyle w:val="37"/>
        <w:spacing w:after="0"/>
      </w:pPr>
      <w:r>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0 1 org/pdf/2207.04672. pdf</w:t>
      </w:r>
    </w:p>
    <w:p>
      <w:pPr>
        <w:pStyle w:val="37"/>
        <w:spacing w:before="0" w:after="120"/>
      </w:pPr>
      <w:r>
        <w:t>Costa-jussà, M. R., Cross, J., Çelebi, O., Elbayad, M., Heafield, K., Heffernan, K., Kalbassi, E., Lam, J., Licht, D., Maillard, J., Sun, A., Wang, S., Wenzek, G., Youngblood, A., Akula, B., Barrault, L., Mejia-Gonzalez, G., Hansanti, P., Hoffman, J., &amp; Wang, C. (2022). No language left behind: Scaling human-centered machine translation. arXiv preprint 0 1 org/pdf/2207.04672. pdf</w:t>
      </w:r>
    </w:p>
    <w:p w14:paraId="04155273">
      <w:pPr>
        <w:pStyle w:val="37"/>
        <w:spacing w:after="0"/>
      </w:pPr>
      <w:r>
        <w:t>Devlin, J., Chang, M.-W., Lee, K., &amp; Toutanova, K. (2019). BERT: Pre-training of deep bidirectional transformers for language understanding. Proceedings of NAACL-HLT 2019, 4171–4186. 0 org/pdf/1810.04805. pdf</w:t>
      </w:r>
    </w:p>
    <w:p>
      <w:pPr>
        <w:pStyle w:val="37"/>
        <w:spacing w:before="0" w:after="120"/>
      </w:pPr>
      <w:r>
        <w:t>Devlin, J., Chang, M.-W., Lee, K., &amp; Toutanova, K. (2019). BERT: Pre-training of deep bidirectional transformers for language understanding. Proceedings of NAACL-HLT 2019, 4171–4186. 0 org/pdf/1810.04805. pdf</w:t>
      </w:r>
    </w:p>
    <w:p w14:paraId="4108C997">
      <w:pPr>
        <w:pStyle w:val="37"/>
        <w:spacing w:after="0"/>
      </w:pPr>
      <w:r>
        <w:t>Dou, Z.-Y., &amp; Neubig, G. (2021). Word alignment by fine-tuning embeddings on parallel corpora. Proceedings of the 16th Conference of the European Chapter of the Association for Computational Linguistics, 2112–2128. 0 org/pdf/2101.08231. pdf</w:t>
      </w:r>
    </w:p>
    <w:p>
      <w:pPr>
        <w:pStyle w:val="37"/>
        <w:spacing w:before="0" w:after="120"/>
      </w:pPr>
      <w:r>
        <w:t>Dou, Z.-Y., &amp; Neubig, G. (2021). Word alignment by fine-tuning embeddings on parallel corpora. Proceedings of the 16th Conference of the European Chapter of the Association for Computational Linguistics, 2112–2128. 0 org/pdf/2101.08231. pdf</w:t>
      </w:r>
    </w:p>
    <w:p w14:paraId="15034C1B">
      <w:pPr>
        <w:pStyle w:val="37"/>
        <w:spacing w:after="0"/>
      </w:pPr>
      <w:r>
        <w:t>Edunov, S., Ott, M., Auli, M., &amp; Grangier, D. (2018). Understanding back-translation at scale. Proceedings of the 2018 Conference on Empirical Methods in Natural Language Processing, 489–500. 0 org/pdf/1808.09381. pdf</w:t>
      </w:r>
    </w:p>
    <w:p>
      <w:pPr>
        <w:pStyle w:val="37"/>
        <w:spacing w:before="0" w:after="120"/>
      </w:pPr>
      <w:r>
        <w:t>Edunov, S., Ott, M., Auli, M., &amp; Grangier, D. (2018). Understanding back-translation at scale. Proceedings of the 2018 Conference on Empirical Methods in Natural Language Processing, 489–500. 0 org/pdf/1808.09381. pdf</w:t>
      </w:r>
    </w:p>
    <w:p w14:paraId="3A8B6E18">
      <w:pPr>
        <w:pStyle w:val="37"/>
        <w:spacing w:after="0"/>
      </w:pPr>
      <w:r>
        <w:t>Feng, S., Graham, Y., &amp; Baldwin, T. (2022). Document-level machine translation with long-document transformer. Proceedings of the 2022 Conference on Empirical Methods in Natural Language Processing, 3698–3711. 0 org/2022. emnlp-main.249. pdf</w:t>
      </w:r>
    </w:p>
    <w:p>
      <w:pPr>
        <w:pStyle w:val="37"/>
        <w:spacing w:before="0" w:after="120"/>
      </w:pPr>
      <w:r>
        <w:t>Feng, S., Graham, Y., &amp; Baldwin, T. (2022). Document-level machine translation with long-document transformer. Proceedings of the 2022 Conference on Empirical Methods in Natural Language Processing, 3698–3711. 0 org/2022. emnlp-main.249. pdf</w:t>
      </w:r>
    </w:p>
    <w:p w14:paraId="120B50BC">
      <w:pPr>
        <w:pStyle w:val="37"/>
        <w:spacing w:after="0"/>
      </w:pPr>
      <w:r>
        <w:t>Floridi, L., Cowls, J., Beltrametti, M., Chatila, R., Chazerand, P., Dignum, V., Luetge, C., Madelin, R., Pagallo, U., Rossi, F., Schafer, B., Valcke, P., &amp; Vayena, E. (2018). An ethical framework for a good AI society: Opportunities, risks, principles, and recommendations. Minds and Machines, 28(4), 689–707. 1 springer. com/content/pdf/0 pdf</w:t>
      </w:r>
    </w:p>
    <w:p>
      <w:pPr>
        <w:pStyle w:val="37"/>
        <w:spacing w:before="0" w:after="120"/>
      </w:pPr>
      <w:r>
        <w:t>Floridi, L., Cowls, J., Beltrametti, M., Chatila, R., Chazerand, P., Dignum, V., Luetge, C., Madelin, R., Pagallo, U., Rossi, F., Schafer, B., Valcke, P., &amp; Vayena, E. (2018). An ethical framework for a good AI society: Opportunities, risks, principles, and recommendations. Minds and Machines, 28(4), 689–707. 1 springer. com/content/pdf/0 pdf</w:t>
      </w:r>
    </w:p>
    <w:p w14:paraId="5724F0BF">
      <w:pPr>
        <w:pStyle w:val="37"/>
        <w:spacing w:after="0"/>
      </w:pPr>
      <w:r>
        <w:t>Gehring, J., Auli, M., Grangier, D., Yarats, D., &amp; Dauphin, Y. N. (2017). Convolutional sequence to sequence learning. Proceedings of the 34th International Conference on Machine Learning (ICML 2017), 1243–1252. 0 org/pdf/1705.03122. pdf</w:t>
      </w:r>
    </w:p>
    <w:p>
      <w:pPr>
        <w:pStyle w:val="37"/>
        <w:spacing w:before="0" w:after="120"/>
      </w:pPr>
      <w:r>
        <w:t>Gehring, J., Auli, M., Grangier, D., Yarats, D., &amp; Dauphin, Y. N. (2017). Convolutional sequence to sequence learning. Proceedings of the 34th International Conference on Machine Learning (ICML 2017), 1243–1252. 0 org/pdf/1705.03122. pdf</w:t>
      </w:r>
    </w:p>
    <w:p w14:paraId="52F16C76">
      <w:pPr>
        <w:pStyle w:val="37"/>
        <w:spacing w:after="0"/>
      </w:pPr>
      <w:r>
        <w:t>Gu, J., Hassan, H., Devlin, J., &amp; Li, V. O. K. (2018). Universal neural machine translation for extremely low resource languages. Proceedings of NAACL-HLT 2018, 344–354. 0 org/pdf/1802.05368. pdf</w:t>
      </w:r>
    </w:p>
    <w:p>
      <w:pPr>
        <w:pStyle w:val="37"/>
        <w:spacing w:before="0" w:after="120"/>
      </w:pPr>
      <w:r>
        <w:t>Gu, J., Hassan, H., Devlin, J., &amp; Li, V. O. K. (2018). Universal neural machine translation for extremely low resource languages. Proceedings of NAACL-HLT 2018, 344–354. 0 org/pdf/1802.05368. pdf</w:t>
      </w:r>
    </w:p>
    <w:p w14:paraId="12DAC2B0">
      <w:pPr>
        <w:pStyle w:val="37"/>
        <w:spacing w:after="0"/>
      </w:pPr>
      <w:r>
        <w:t>Hassan, H., Aue, A., Chen, C., Chowdhary, V., Clark, J., Federmann, C., Huang, X., Junczys-Dowmunt, M., Lewis, W., Li, M., Liu, S., Liu, T.-Y., Luo, R., Menezes, A., Qin, T., Seide, F., Tan, X., Tian, F., Wu, L., &amp; Zhou, M. (2018). Achieving human parity on automatic Chinese to English news translation. arXiv preprint 0 1 org/pdf/1803.05567. pdf</w:t>
      </w:r>
    </w:p>
    <w:p>
      <w:pPr>
        <w:pStyle w:val="37"/>
        <w:spacing w:before="0" w:after="120"/>
      </w:pPr>
      <w:r>
        <w:t>Hassan, H., Aue, A., Chen, C., Chowdhary, V., Clark, J., Federmann, C., Huang, Zhou, M. (2018). Achieving human parity on automatic Chinese to English news translation. arXiv preprint 0 1 org/pdf/1803.05567. pdf</w:t>
      </w:r>
    </w:p>
    <w:p w14:paraId="6D6B88EA">
      <w:pPr>
        <w:pStyle w:val="37"/>
        <w:spacing w:after="0"/>
      </w:pPr>
      <w:r>
        <w:t>Ji, Z., Lee, N., Frieske, R., Yu, T., Su, D., Xu, Y., Ishii, E., Bang, Y., Madotto, A., &amp; Fung, P. (2023). Survey of hallucination in natural language generation. ACM Computing Surveys, 55(12), 1–38. 0 org/pdf/2202.03629. pdf</w:t>
      </w:r>
    </w:p>
    <w:p>
      <w:pPr>
        <w:pStyle w:val="37"/>
        <w:spacing w:before="0" w:after="120"/>
      </w:pPr>
      <w:r>
        <w:t>Ji, Z., Lee, N., Frieske, R., Yu, T., Su, D., Xu, Y., Ishii, E., Bang, Y., Madotto, A., &amp; Fung, P. (2023). Survey of hallucination in natural language generation. ACM Computing Surveys, 55(12), 1–38. 0 org/pdf/2202.03629. pdf</w:t>
      </w:r>
    </w:p>
    <w:p w14:paraId="517074F0">
      <w:pPr>
        <w:pStyle w:val="37"/>
        <w:spacing w:after="0"/>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0 org/pdf/1611.04558. pdf</w:t>
      </w:r>
    </w:p>
    <w:p>
      <w:pPr>
        <w:pStyle w:val="37"/>
        <w:spacing w:before="0" w:after="120"/>
      </w:pPr>
      <w:r>
        <w:t>Johnson, M., Schuster, M., Le, Q. V., Krikun, M., Wu, Y., Chen, Z., Thorat, N., Viégas, F., Wattenberg, M., Corrado, G., Hughes, M., &amp; Dean, J. (2017). Google's multilingual neural machine translation system: Enabling zero-shot translation. Transactions of the Association for Computational Linguistics, 5, 339–351. 0 org/pdf/1611.04558. pdf</w:t>
      </w:r>
    </w:p>
    <w:p w14:paraId="624305CF">
      <w:pPr>
        <w:pStyle w:val="37"/>
        <w:spacing w:after="0"/>
      </w:pPr>
      <w:r>
        <w:t>Junczys-Dowmunt, M., Grundkiewicz, R., Dwojak, T., Hoang, H., Heafield, K., Neckermann, T., Seide, F., Germann, U., Aji, A. F., Bogoychev, N., Martins, A. F. T., &amp; Birch, A. (2018). Marian: Fast neural machine translation in C++. Proceedings of ACL 2018 System Demonstrations, 116–121. 0 org/pdf/1804.00344. pdf</w:t>
      </w:r>
    </w:p>
    <w:p>
      <w:pPr>
        <w:pStyle w:val="37"/>
        <w:spacing w:before="0" w:after="120"/>
      </w:pPr>
      <w:r>
        <w:t>Junczys-Dowmunt, M., Grundkiewicz, R., Dwojak, T., Hoang, H., Heafield, K., Neckermann, T., Seide, F., Germann, U., Aji, A. F., Bogoychev, N., Martins, A. F. T., &amp; Birch, A. (2018). Marian: Fast neural machine translation in C++. Proceedings of ACL 2018 System Demonstrations, 116–121. 0 org/pdf/1804.00344. pdf</w:t>
      </w:r>
    </w:p>
    <w:p w14:paraId="360572EE">
      <w:pPr>
        <w:pStyle w:val="37"/>
        <w:spacing w:after="0"/>
      </w:pPr>
      <w:r>
        <w:t>Kingma, D. P., &amp; Ba, J. (2015). Adam: A method for stochastic optimization. International Conference on Learning Representations (ICLR 2015). 0 org/pdf/1412.6980. pdf</w:t>
      </w:r>
    </w:p>
    <w:p>
      <w:pPr>
        <w:pStyle w:val="37"/>
        <w:spacing w:before="0" w:after="120"/>
      </w:pPr>
      <w:r>
        <w:t>Kingma, D. P., &amp; Ba, J. (2015). Adam: A method for stochastic optimization. International Conference on Learning Representations (ICLR 2015). 0 org/pdf/1412.6980. pdf</w:t>
      </w:r>
    </w:p>
    <w:p w14:paraId="0A16D4E7">
      <w:pPr>
        <w:pStyle w:val="37"/>
        <w:spacing w:after="0"/>
      </w:pPr>
      <w:r>
        <w:t>Klein, G., Kim, Y., Deng, Y., Senellart, J., &amp; Rush, A. M. (2017). OpenNMT: Open-source toolkit for neural machine translation. Proceedings of ACL 2017 System Demonstrations, 67–72. 0 org/pdf/1701.02810. pdf</w:t>
      </w:r>
    </w:p>
    <w:p>
      <w:pPr>
        <w:pStyle w:val="37"/>
        <w:spacing w:before="0" w:after="120"/>
      </w:pPr>
      <w:r>
        <w:t>Klein, G., Kim, Y., Deng, Y., Senellart, J., &amp; Rush, A. M. (2017). OpenNMT: Open-source toolkit for neural machine translation. Proceedings of ACL 2017 System Demonstrations, 67–72. 0 org/pdf/1701.02810. pdf</w:t>
      </w:r>
    </w:p>
    <w:p w14:paraId="28F25D7D">
      <w:pPr>
        <w:pStyle w:val="37"/>
        <w:spacing w:after="0"/>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0 org/P07-2045. pdf</w:t>
      </w:r>
    </w:p>
    <w:p>
      <w:pPr>
        <w:pStyle w:val="37"/>
        <w:spacing w:before="0" w:after="120"/>
      </w:pPr>
      <w:r>
        <w:t>Koehn, P., Hoang, H., Birch, A., Callison-Burch, C., Federico, M., Bertoldi, N., Cowan, B., Shen, W., Moran, C., Zens, R., Dyer, C., Bojar, O., Constantin, A., &amp; Herbst, E. (2007). Moses: Open source toolkit for statistical machine translation. Proceedings of the 45th Annual Meeting of the ACL on Interactive Poster and Demonstration Sessions, 177–180. 0 org/P07-2045. pdf</w:t>
      </w:r>
    </w:p>
    <w:p w14:paraId="74F94765">
      <w:pPr>
        <w:pStyle w:val="37"/>
        <w:spacing w:after="0"/>
      </w:pPr>
      <w:r>
        <w:t>Lewis, P., Perez, E., Piktus, A., Petroni, F., Karpukhin, V., Goyal, N., Küttler, H., Lewis, M., Yih, W.-T., Rocktäschel, T., Riedel, S., &amp; Kiela, D. (2020). Retrieval-augmented generation for knowledge-intensive NLP tasks. Advances in Neural Information Processing Systems, 33, 9459–9474. 0 org/pdf/2005.11401. pdf</w:t>
      </w:r>
    </w:p>
    <w:p>
      <w:pPr>
        <w:pStyle w:val="37"/>
        <w:spacing w:before="0" w:after="120"/>
      </w:pPr>
      <w:r>
        <w:t>Lewis, P., Perez, E., Piktus, A., Petroni, F., Karpukhin, V., Goyal, N., Küttler, H., Lewis, M., Yih, W.-T., Rocktäschel, T., Riedel, S., &amp; Kiela, D. (2020). Retrieval-augmented generation for knowledge-intensive NLP tasks. Advances in Neural Information Processing Systems, 33, 9459–9474. 0 org/pdf/2005.11401. pdf</w:t>
      </w:r>
    </w:p>
    <w:p w14:paraId="1A34D65E">
      <w:pPr>
        <w:pStyle w:val="37"/>
        <w:spacing w:after="0"/>
      </w:pPr>
      <w:r>
        <w:t>Liu, Y., Gu, J., Goyal, N., Li, X., Edunov, S., Ghazvininejad, M., Lewis, M., &amp; Zettlemoyer, L. (2020). Multilingual denoising pre-training for neural machine translation. Transactions of the Association for Computational Linguistics, 8, 726–742. 0 org/pdf/2001.08210. pdf</w:t>
      </w:r>
    </w:p>
    <w:p>
      <w:pPr>
        <w:pStyle w:val="37"/>
        <w:spacing w:before="0" w:after="120"/>
      </w:pPr>
      <w:r>
        <w:t>Liu, Y., Gu, J., Goyal, N., Li, X., Edunov, S., Ghazvininejad, M., Lewis, M., &amp; Zettlemoyer, L. (2020). Multilingual denoising pre-training for neural machine translation. Transactions of the Association for Computational Linguistics, 8, 726–742. 0 org/pdf/2001.08210. pdf</w:t>
      </w:r>
    </w:p>
    <w:p w14:paraId="1093F8F1">
      <w:pPr>
        <w:pStyle w:val="37"/>
        <w:spacing w:after="0"/>
      </w:pPr>
      <w:r>
        <w:t>Luong, M.-T., Pham, H., &amp; Manning, C. D. (2015). Effective approaches to attention-based neural machine translation. Proceedings of the 2015 Conference on Empirical Methods in Natural Language Processing, 1412–1421. 0 org/pdf/1508.04025. pdf</w:t>
      </w:r>
    </w:p>
    <w:p>
      <w:pPr>
        <w:pStyle w:val="37"/>
        <w:spacing w:before="0" w:after="120"/>
      </w:pPr>
      <w:r>
        <w:t>Luong, M.-T., Pham, H., &amp; Manning, C. D. (2015). Effective approaches to attention-based neural machine translation. Proceedings of the 2015 Conference on Empirical Methods in Natural Language Processing, 1412–1421. 0 org/pdf/1508.04025. pdf</w:t>
      </w:r>
    </w:p>
    <w:p w14:paraId="17C1E6EE">
      <w:pPr>
        <w:pStyle w:val="37"/>
        <w:spacing w:after="0"/>
      </w:pPr>
      <w:r>
        <w:t>Papineni, K., Roukos, S., Ward, T., &amp; Zhu, W.-J. (2002). BLEU: A method for automatic evaluation of machine translation. Proceedings of the 40th Annual Meeting of the Association for Computational Linguistics, 311–318. 0 org/P02-1040. pdf</w:t>
      </w:r>
    </w:p>
    <w:p>
      <w:pPr>
        <w:pStyle w:val="37"/>
        <w:spacing w:before="0" w:after="120"/>
      </w:pPr>
      <w:r>
        <w:t>Papineni, K., Roukos, S., Ward, T., &amp; Zhu, W.-J. (2002). BLEU: A method for automatic evaluation of machine translation. Proceedings of the 40th Annual Meeting of the Association for Computational Linguistics, 311–318. 0 org/P02-1040. pdf</w:t>
      </w:r>
    </w:p>
    <w:p w14:paraId="04C506D7">
      <w:pPr>
        <w:pStyle w:val="37"/>
        <w:spacing w:after="0"/>
      </w:pPr>
      <w:r>
        <w:t>Post, M. (2018). A call for clarity in reporting BLEU scores. Proceedings of the Third Conference on Machine Translation: Research Papers, 186–191. 0 org/pdf/1804.08771. pdf</w:t>
      </w:r>
    </w:p>
    <w:p>
      <w:pPr>
        <w:pStyle w:val="37"/>
        <w:spacing w:before="0" w:after="120"/>
      </w:pPr>
      <w:r>
        <w:t>Post, M. (2018). A call for clarity in reporting BLEU scores. Proceedings of the Third Conference on Machine Translation: Research Papers, 186–191. 0 org/pdf/1804.08771. pdf</w:t>
      </w:r>
    </w:p>
    <w:p w14:paraId="53707B0F">
      <w:pPr>
        <w:pStyle w:val="37"/>
        <w:spacing w:after="0"/>
      </w:pPr>
      <w:r>
        <w:t>Raffel, C., Shazeer, N., Roberts, A., Lee, K., Narang, S., Matena, M., Zhou, Y., Li, W., &amp; Liu, P. J. (2020). Exploring the limits of transfer learning with a unified text-to-text transformer. Journal of Machine Learning Research, 21(140), 1–67. 0 org/pdf/1910.10683. pdf</w:t>
      </w:r>
    </w:p>
    <w:p>
      <w:pPr>
        <w:pStyle w:val="37"/>
        <w:spacing w:before="0" w:after="120"/>
      </w:pPr>
      <w:r>
        <w:t>Raffel, C., Shazeer, N., Roberts, A., Lee, K., Narang, S., Matena, M., Zhou, Y., Li, W., &amp; Liu, P. J. (2020). Exploring the limits of transfer learning with a unified text-to-text transformer. Journal of Machine Learning Research, 21(140), 1–67. 0 org/pdf/1910.10683. pdf</w:t>
      </w:r>
    </w:p>
    <w:p w14:paraId="763B60DF">
      <w:pPr>
        <w:pStyle w:val="37"/>
        <w:spacing w:after="0"/>
      </w:pPr>
      <w:r>
        <w:t>Rei, R., Stewart, C., Farinha, A. C., &amp; Lavie, A. (2020). COMET: A neural framework for MT evaluation. Proceedings of the 2020 Conference on Empirical Methods in Natural Language Processing, 2685–2702. 0 org/pdf/2009.09025. pdf</w:t>
      </w:r>
    </w:p>
    <w:p>
      <w:pPr>
        <w:pStyle w:val="37"/>
        <w:spacing w:before="0" w:after="120"/>
      </w:pPr>
      <w:r>
        <w:t>Rei, R., Stewart, C., Farinha, A. C., &amp; Lavie, A. (2020). COMET: A neural framework for MT evaluation. Proceedings of the 2020 Conference on Empirical Methods in Natural Language Processing, 2685–2702. 0 org/pdf/2009.09025. pdf</w:t>
      </w:r>
    </w:p>
    <w:p w14:paraId="5F003CFA">
      <w:pPr>
        <w:pStyle w:val="37"/>
        <w:spacing w:after="0"/>
      </w:pPr>
      <w:r>
        <w:t>Sato, M. (2025). Triggering hallucinations in LLMs: A quantitative study of prompt-induced hallucination in large language models. arXiv preprint 0 1 org/pdf/2505.00557. pdf</w:t>
      </w:r>
    </w:p>
    <w:p>
      <w:pPr>
        <w:pStyle w:val="37"/>
        <w:spacing w:before="0" w:after="120"/>
      </w:pPr>
      <w:r>
        <w:t>Sato, M. (2025). Triggering hallucinations in LLMs: A quantitative study of prompt-induced hallucination in large language models. arXiv preprint 0 1 org/pdf/2505.00557. pdf</w:t>
      </w:r>
    </w:p>
    <w:p w14:paraId="2730274D">
      <w:pPr>
        <w:pStyle w:val="37"/>
        <w:spacing w:after="0"/>
      </w:pPr>
      <w:r>
        <w:t>Sahoo, P., Singh, A. K., Saha, S., Jain, V., Mondal, S., &amp; Chadha, A. (2024). A systematic survey of prompt engineering in large language models: Techniques and applications. arXiv preprint 0 1 org/pdf/2402.07927. pdf</w:t>
      </w:r>
    </w:p>
    <w:p>
      <w:pPr>
        <w:pStyle w:val="37"/>
        <w:spacing w:before="0" w:after="120"/>
      </w:pPr>
      <w:r>
        <w:t>Sahoo, P., Singh, A. K., Saha, S., Jain, V., Mondal, S., &amp; Chadha, A. (2024). A systematic survey of prompt engineering in large language models: Techniques and applications. arXiv preprint 0 1 org/pdf/2402.07927. pdf</w:t>
      </w:r>
    </w:p>
    <w:p w14:paraId="7D607EB3">
      <w:pPr>
        <w:pStyle w:val="37"/>
        <w:spacing w:after="0"/>
      </w:pPr>
      <w:r>
        <w:t>Schulhoff, S., Ilie, M., Balepur, N., Kahadze, K., Liu, A., Si, C., Li, Y., Gupta, A., Han, H., Schulhoff, S., Dulepet, P. S., Vidyadhara, S., Ki, D., Agrawal, S., Chinakomnam, C., Feng, Y., &amp; Resnik, P. (2024). The prompt report: A systematic survey of prompt engineering techniques. arXiv preprint 0 1 org/pdf/2406.06608. pdf</w:t>
      </w:r>
    </w:p>
    <w:p>
      <w:pPr>
        <w:pStyle w:val="37"/>
        <w:spacing w:before="0" w:after="120"/>
      </w:pPr>
      <w:r>
        <w:t>Schulhoff, S., Ilie, M., Balepur, N., Kahadze, K., Liu, A., Si, C., Li, Y., Gupta, A., Han, H., Schulhoff, S., Dulepet, P. S., Vidyadhara, S., Ki, D., Agrawal, S., Chinakomnam, C., Feng, Y., &amp; Resnik, P. (2024). The prompt report: A systematic survey of prompt engineering techniques. arXiv preprint 0 1 org/pdf/2406.06608. pdf</w:t>
      </w:r>
    </w:p>
    <w:p w14:paraId="79E98F09">
      <w:pPr>
        <w:pStyle w:val="37"/>
        <w:spacing w:after="0"/>
      </w:pPr>
      <w:r>
        <w:t>Snover, M., Dorr, B., Schwartz, R., Micciulla, L., &amp; Makhoul, J. (2006). A study of translation edit rate with targeted human annotation. Proceedings of Association for Machine Translation in the Americas (AMTA 2006), 223–231. 0 org/2006. amta-papers.25. pdf</w:t>
      </w:r>
    </w:p>
    <w:p>
      <w:pPr>
        <w:pStyle w:val="37"/>
        <w:spacing w:before="0" w:after="120"/>
      </w:pPr>
      <w:r>
        <w:t>Snover, M., Dorr, B., Schwartz, R., Micciulla, L., &amp; Makhoul, J. (2006). A study of translation edit rate with targeted human annotation. Proceedings of Association for Machine Translation in the Americas (AMTA 2006), 223–231. 0 org/2006. amta-papers.25. pdf</w:t>
      </w:r>
    </w:p>
    <w:p w14:paraId="2CEFE856">
      <w:pPr>
        <w:pStyle w:val="37"/>
        <w:spacing w:after="0"/>
      </w:pPr>
      <w:r>
        <w:t>Stahlberg, F. (2020). Neural machine translation: A review. Journal of Artificial Intelligence Research, 69, 343–418. 0 org/pdf/1912.02047. pdf</w:t>
      </w:r>
    </w:p>
    <w:p>
      <w:pPr>
        <w:pStyle w:val="37"/>
        <w:spacing w:before="0" w:after="120"/>
      </w:pPr>
      <w:r>
        <w:t>Stahlberg, F. (2020). Neural machine translation: A review. Journal of Artificial Intelligence Research, 69, 343–418. 0 org/pdf/1912.02047. pdf</w:t>
      </w:r>
    </w:p>
    <w:p w14:paraId="0AB0E6BD">
      <w:pPr>
        <w:pStyle w:val="37"/>
        <w:spacing w:after="0"/>
      </w:pPr>
      <w:r>
        <w:t>Tiedemann, J. (2012). Parallel data, tools and interfaces in OPUS. Proceedings of the Eight International Conference on Language Resources and Evaluation (LREC 2012), 2214–2218. 0 org/L12-1246. pdf</w:t>
      </w:r>
    </w:p>
    <w:p>
      <w:pPr>
        <w:pStyle w:val="37"/>
        <w:spacing w:before="0" w:after="120"/>
      </w:pPr>
      <w:r>
        <w:t>Tiedemann, J. (2012). Parallel data, tools and interfaces in OPUS. Proceedings of the Eight International Conference on Language Resources and Evaluation (LREC 2012), 2214–2218. 0 org/L12-1246. pdf</w:t>
      </w:r>
    </w:p>
    <w:p w14:paraId="3F909CAE">
      <w:pPr>
        <w:pStyle w:val="37"/>
        <w:spacing w:after="0"/>
      </w:pPr>
      <w:r>
        <w:t>Vaswani, A., Shazeer, N., Parmar, N., Uszkoreit, J., Jones, L., Gomez, A. N., Kaiser, Ł., &amp; Polosukhin, I. (2017). Attention is all you need. Advances in Neural Information Processing Systems (NeurIPS 2017). 0 org/pdf/1706.03762. pdf</w:t>
      </w:r>
    </w:p>
    <w:p>
      <w:pPr>
        <w:pStyle w:val="37"/>
        <w:spacing w:before="0" w:after="120"/>
      </w:pPr>
      <w:r>
        <w:t>Vaswani, A., Shazeer, N., Parmar, N., Uszkoreit, J., Jones, L., Gomez, A. N., Kaiser, Ł., &amp; Polosukhin, I. (2017). Attention is all you need. Advances in Neural Information Processing Systems (NeurIPS 2017). 0 org/pdf/1706.03762. pdf</w:t>
      </w:r>
    </w:p>
    <w:p w14:paraId="29D785A5">
      <w:pPr>
        <w:pStyle w:val="37"/>
        <w:spacing w:after="0"/>
      </w:pPr>
      <w:r>
        <w:t>Weidinger, L., Mellor, J., Rauh, M., Griffin, C., Uesato, J., Huang, P.-S., Cheng, M., Glaese, M., Balle, B., Kasirzadeh, A., Kenton, Z., Brown, S., Hawkins, W., Stepleton, T., Biles, C., Birhane, A., Haas, J., Rimell, L., Hendricks, L. A., &amp; Gabriel, I. (2021). Ethical and social risks of harm from language models. arXiv preprint 0 1 org/pdf/2112.04359. pdf</w:t>
      </w:r>
    </w:p>
    <w:p>
      <w:pPr>
        <w:pStyle w:val="37"/>
        <w:spacing w:before="0" w:after="120"/>
      </w:pPr>
      <w:r>
        <w:t>Weidinger, L., Mellor, J., Rauh, M., Griffin, C., Uesato, J., Huang, P.-S., Cheng, M., Glaese, M., Balle, B., Kasirzadeh, A., Kenton, Z., Brown, S., Hawkins, W., Stepleton, T., Biles, C., Birhane, A., Haas, J., Rimell, L., Hendricks, L. A., &amp; Gabriel, I. (2021). Ethical and social risks of harm from language models. arXiv preprint 0 1 org/pdf/2112.04359. pdf</w:t>
      </w:r>
    </w:p>
    <w:p w14:paraId="4C2EDAE4">
      <w:pPr>
        <w:pStyle w:val="37"/>
        <w:spacing w:after="0"/>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0 1 org/pdf/1609.08144. pdf</w:t>
      </w:r>
    </w:p>
    <w:p>
      <w:pPr>
        <w:pStyle w:val="37"/>
        <w:spacing w:before="0" w:after="120"/>
      </w:pPr>
      <w:r>
        <w:t>Wu, Y., Schuster, M., Chen, Z., Le, Q. V., Norouzi, M., Macherey, W., Krikun, M., Cao, Y., Gao, Q., Macherey, K., Klingner, J., Shah, A., Johnson, M., Liu, X., Kaiser, Ł., Gouws, S., Kato, Y., Kudo, T., Kazawa, H., &amp; Dean, J. (2016). Google's neural machine translation system: Bridging the gap between human and machine translation. arXiv preprint 0 1 org/pdf/1609.08144. pdf</w:t>
      </w:r>
    </w:p>
    <w:p w14:paraId="3F34AEEC">
      <w:pPr>
        <w:pStyle w:val="37"/>
        <w:spacing w:after="0"/>
      </w:pPr>
      <w:r>
        <w:t>Xue, L., Constant, N., Roberts, A., Kale, M., Al-Rfou, R., Siddhant, A., Barua, A., &amp; Raffel, C. (2021). mT5: A massively multilingual pre-trained text-to-text transformer. Proceedings of NAACL-HLT 2021, 483–498. 0 org/pdf/2010.11934. pdf</w:t>
      </w:r>
    </w:p>
    <w:p>
      <w:pPr>
        <w:pStyle w:val="37"/>
        <w:spacing w:before="0" w:after="120"/>
      </w:pPr>
      <w:r>
        <w:t>Xue, L., Constant, N., Roberts, A., Kale, M., Al-Rfou, R., Siddhant, A., Barua, A., &amp; Raffel, C. (2021). mT5: A massively multilingual pre-trained text-to-text transformer. Proceedings of NAACL-HLT 2021, 483–498. 0 org/pdf/2010.11934. pdf</w:t>
      </w:r>
    </w:p>
    <w:p w14:paraId="092A7398">
      <w:pPr>
        <w:pStyle w:val="37"/>
        <w:spacing w:after="0"/>
      </w:pPr>
      <w:r>
        <w:t>Zhang, B., &amp; Sennrich, R. (2019). Root mean square layer normalization. Advances in Neural Information Processing Systems, 32. 0 org/pdf/1910.07467. pdf</w:t>
      </w:r>
    </w:p>
    <w:p>
      <w:pPr>
        <w:pStyle w:val="37"/>
        <w:spacing w:before="0" w:after="120"/>
      </w:pPr>
      <w:r>
        <w:t>Zhang, B., &amp; Sennrich, R. (2019). Root mean square layer normalization. Advances in Neural Information Processing Systems, 32. 0 org/pdf/1910.07467. pdf</w:t>
      </w:r>
    </w:p>
    <w:p w14:paraId="1FA8036C">
      <w:pPr>
        <w:pStyle w:val="37"/>
        <w:numPr>
          <w:ilvl w:val="0"/>
          <w:numId w:val="0"/>
        </w:numPr>
        <w:ind w:left="341" w:hanging="114"/>
      </w:pPr>
    </w:p>
    <w:sectPr>
      <w:headerReference r:id="rId5" w:type="default"/>
      <w:headerReference r:id="rId6" w:type="even"/>
      <w:footerReference w:type="default" r:id="rId10"/>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2AE8">
    <w:pPr>
      <w:pStyle w:val="39"/>
    </w:pPr>
    <w:r>
      <w:tab/>
    </w:r>
    <w:r>
      <w:t xml:space="preserve">Contribution Title (shortened if too long)  </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EF39">
    <w:pPr>
      <w:pStyle w:val="38"/>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3"/>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4"/>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8"/>
      <w:lvlText w:val="%1"/>
      <w:lvlJc w:val="left"/>
      <w:pPr>
        <w:tabs>
          <w:tab w:val="left" w:pos="567"/>
        </w:tabs>
        <w:ind w:left="567" w:hanging="567"/>
      </w:pPr>
      <w:rPr>
        <w:rFonts w:hint="default"/>
      </w:rPr>
    </w:lvl>
    <w:lvl w:ilvl="1" w:tentative="0">
      <w:start w:val="1"/>
      <w:numFmt w:val="decimal"/>
      <w:pStyle w:val="29"/>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5"/>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7"/>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4BB3"/>
    <w:rsid w:val="00041E1E"/>
    <w:rsid w:val="000729DE"/>
    <w:rsid w:val="00080C95"/>
    <w:rsid w:val="000C5148"/>
    <w:rsid w:val="00121A0E"/>
    <w:rsid w:val="001C06E3"/>
    <w:rsid w:val="0020796A"/>
    <w:rsid w:val="002D2068"/>
    <w:rsid w:val="0030204D"/>
    <w:rsid w:val="00390FE3"/>
    <w:rsid w:val="003B6B7C"/>
    <w:rsid w:val="003D6772"/>
    <w:rsid w:val="004068D6"/>
    <w:rsid w:val="004365FB"/>
    <w:rsid w:val="004A580F"/>
    <w:rsid w:val="004F0986"/>
    <w:rsid w:val="00507277"/>
    <w:rsid w:val="00525E09"/>
    <w:rsid w:val="0054134D"/>
    <w:rsid w:val="00543693"/>
    <w:rsid w:val="0059267F"/>
    <w:rsid w:val="005D71A6"/>
    <w:rsid w:val="005D7290"/>
    <w:rsid w:val="006015BB"/>
    <w:rsid w:val="00612520"/>
    <w:rsid w:val="00635FBF"/>
    <w:rsid w:val="00674991"/>
    <w:rsid w:val="00720C96"/>
    <w:rsid w:val="00722A1D"/>
    <w:rsid w:val="00766D51"/>
    <w:rsid w:val="007D53E3"/>
    <w:rsid w:val="00806D41"/>
    <w:rsid w:val="008405EC"/>
    <w:rsid w:val="008504C5"/>
    <w:rsid w:val="00864CFE"/>
    <w:rsid w:val="0088007F"/>
    <w:rsid w:val="008A41B1"/>
    <w:rsid w:val="008D19C8"/>
    <w:rsid w:val="0095682A"/>
    <w:rsid w:val="009930E4"/>
    <w:rsid w:val="009B2539"/>
    <w:rsid w:val="009C6439"/>
    <w:rsid w:val="009E2F6C"/>
    <w:rsid w:val="009F7FCE"/>
    <w:rsid w:val="00A06D8D"/>
    <w:rsid w:val="00A13D60"/>
    <w:rsid w:val="00AD3144"/>
    <w:rsid w:val="00B019E4"/>
    <w:rsid w:val="00B04A5F"/>
    <w:rsid w:val="00B23481"/>
    <w:rsid w:val="00BA5F23"/>
    <w:rsid w:val="00BC1249"/>
    <w:rsid w:val="00C50CBC"/>
    <w:rsid w:val="00C54E0F"/>
    <w:rsid w:val="00C7487A"/>
    <w:rsid w:val="00CB3A9A"/>
    <w:rsid w:val="00CC1C6E"/>
    <w:rsid w:val="00CF29B6"/>
    <w:rsid w:val="00CF62AD"/>
    <w:rsid w:val="00D47298"/>
    <w:rsid w:val="00DD0FD7"/>
    <w:rsid w:val="00DE4CA4"/>
    <w:rsid w:val="00DF623C"/>
    <w:rsid w:val="00E41C2E"/>
    <w:rsid w:val="00F23B7A"/>
    <w:rsid w:val="00F321B4"/>
    <w:rsid w:val="00F665BE"/>
    <w:rsid w:val="00FA68DA"/>
    <w:rsid w:val="71F173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qFormat="1"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semiHidden="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character" w:styleId="9">
    <w:name w:val="annotation reference"/>
    <w:basedOn w:val="7"/>
    <w:semiHidden/>
    <w:qFormat/>
    <w:uiPriority w:val="0"/>
    <w:rPr>
      <w:sz w:val="16"/>
      <w:szCs w:val="16"/>
    </w:rPr>
  </w:style>
  <w:style w:type="paragraph" w:styleId="10">
    <w:name w:val="annotation text"/>
    <w:basedOn w:val="1"/>
    <w:link w:val="48"/>
    <w:semiHidden/>
    <w:uiPriority w:val="0"/>
    <w:pPr>
      <w:spacing w:line="240" w:lineRule="auto"/>
    </w:pPr>
  </w:style>
  <w:style w:type="paragraph" w:styleId="11">
    <w:name w:val="annotation subject"/>
    <w:basedOn w:val="10"/>
    <w:next w:val="10"/>
    <w:link w:val="49"/>
    <w:semiHidden/>
    <w:uiPriority w:val="0"/>
    <w:rPr>
      <w:b/>
      <w:bCs/>
    </w:rPr>
  </w:style>
  <w:style w:type="character" w:styleId="12">
    <w:name w:val="FollowedHyperlink"/>
    <w:basedOn w:val="7"/>
    <w:semiHidden/>
    <w:uiPriority w:val="0"/>
    <w:rPr>
      <w:color w:val="800080" w:themeColor="followedHyperlink"/>
      <w:u w:val="single"/>
      <w14:textFill>
        <w14:solidFill>
          <w14:schemeClr w14:val="folHlink"/>
        </w14:solidFill>
      </w14:textFill>
    </w:rPr>
  </w:style>
  <w:style w:type="paragraph" w:styleId="13">
    <w:name w:val="footer"/>
    <w:basedOn w:val="1"/>
    <w:semiHidden/>
    <w:unhideWhenUsed/>
    <w:uiPriority w:val="0"/>
  </w:style>
  <w:style w:type="character" w:styleId="14">
    <w:name w:val="footnote reference"/>
    <w:basedOn w:val="7"/>
    <w:semiHidden/>
    <w:unhideWhenUsed/>
    <w:qFormat/>
    <w:uiPriority w:val="0"/>
    <w:rPr>
      <w:position w:val="0"/>
      <w:vertAlign w:val="superscript"/>
    </w:rPr>
  </w:style>
  <w:style w:type="paragraph" w:styleId="15">
    <w:name w:val="footnote text"/>
    <w:basedOn w:val="1"/>
    <w:semiHidden/>
    <w:qFormat/>
    <w:uiPriority w:val="0"/>
    <w:pPr>
      <w:spacing w:line="220" w:lineRule="atLeast"/>
      <w:ind w:left="227" w:hanging="227"/>
    </w:pPr>
    <w:rPr>
      <w:sz w:val="18"/>
    </w:rPr>
  </w:style>
  <w:style w:type="paragraph" w:styleId="16">
    <w:name w:val="header"/>
    <w:basedOn w:val="1"/>
    <w:semiHidden/>
    <w:unhideWhenUsed/>
    <w:qFormat/>
    <w:uiPriority w:val="0"/>
    <w:pPr>
      <w:tabs>
        <w:tab w:val="center" w:pos="4536"/>
        <w:tab w:val="right" w:pos="9072"/>
      </w:tabs>
      <w:ind w:firstLine="0"/>
    </w:pPr>
    <w:rPr>
      <w:sz w:val="18"/>
      <w:szCs w:val="18"/>
    </w:rPr>
  </w:style>
  <w:style w:type="character" w:styleId="17">
    <w:name w:val="Hyperlink"/>
    <w:basedOn w:val="7"/>
    <w:unhideWhenUsed/>
    <w:uiPriority w:val="0"/>
    <w:rPr>
      <w:color w:val="auto"/>
      <w:u w:val="none"/>
    </w:rPr>
  </w:style>
  <w:style w:type="character" w:styleId="18">
    <w:name w:val="page number"/>
    <w:basedOn w:val="7"/>
    <w:semiHidden/>
    <w:unhideWhenUsed/>
    <w:qFormat/>
    <w:uiPriority w:val="0"/>
    <w:rPr>
      <w:sz w:val="18"/>
    </w:rPr>
  </w:style>
  <w:style w:type="table" w:styleId="19">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abstract"/>
    <w:basedOn w:val="1"/>
    <w:uiPriority w:val="0"/>
    <w:pPr>
      <w:spacing w:before="600" w:after="360" w:line="220" w:lineRule="atLeast"/>
      <w:ind w:left="567" w:right="567"/>
      <w:contextualSpacing/>
    </w:pPr>
    <w:rPr>
      <w:sz w:val="18"/>
    </w:rPr>
  </w:style>
  <w:style w:type="paragraph" w:customStyle="1" w:styleId="21">
    <w:name w:val="address"/>
    <w:basedOn w:val="1"/>
    <w:qFormat/>
    <w:uiPriority w:val="0"/>
    <w:pPr>
      <w:spacing w:after="200" w:line="220" w:lineRule="atLeast"/>
      <w:ind w:firstLine="0"/>
      <w:contextualSpacing/>
      <w:jc w:val="center"/>
    </w:pPr>
    <w:rPr>
      <w:sz w:val="18"/>
    </w:rPr>
  </w:style>
  <w:style w:type="paragraph" w:customStyle="1" w:styleId="22">
    <w:name w:val="author"/>
    <w:basedOn w:val="1"/>
    <w:next w:val="21"/>
    <w:uiPriority w:val="0"/>
    <w:pPr>
      <w:spacing w:after="200" w:line="220" w:lineRule="atLeast"/>
      <w:ind w:firstLine="0"/>
      <w:jc w:val="center"/>
    </w:pPr>
  </w:style>
  <w:style w:type="paragraph" w:customStyle="1" w:styleId="23">
    <w:name w:val="bulletitem"/>
    <w:basedOn w:val="1"/>
    <w:uiPriority w:val="0"/>
    <w:pPr>
      <w:numPr>
        <w:ilvl w:val="0"/>
        <w:numId w:val="1"/>
      </w:numPr>
      <w:spacing w:before="160" w:after="160"/>
      <w:contextualSpacing/>
    </w:pPr>
  </w:style>
  <w:style w:type="paragraph" w:customStyle="1" w:styleId="24">
    <w:name w:val="dashitem"/>
    <w:basedOn w:val="1"/>
    <w:uiPriority w:val="0"/>
    <w:pPr>
      <w:numPr>
        <w:ilvl w:val="0"/>
        <w:numId w:val="2"/>
      </w:numPr>
      <w:spacing w:before="160" w:after="160"/>
      <w:contextualSpacing/>
    </w:pPr>
  </w:style>
  <w:style w:type="character" w:customStyle="1" w:styleId="25">
    <w:name w:val="e-mail"/>
    <w:basedOn w:val="7"/>
    <w:qFormat/>
    <w:uiPriority w:val="0"/>
    <w:rPr>
      <w:rFonts w:ascii="Courier" w:hAnsi="Courier"/>
    </w:rPr>
  </w:style>
  <w:style w:type="paragraph" w:customStyle="1" w:styleId="26">
    <w:name w:val="equation"/>
    <w:basedOn w:val="1"/>
    <w:next w:val="1"/>
    <w:uiPriority w:val="0"/>
    <w:pPr>
      <w:tabs>
        <w:tab w:val="center" w:pos="3289"/>
        <w:tab w:val="right" w:pos="6917"/>
      </w:tabs>
      <w:spacing w:before="160" w:after="160"/>
      <w:ind w:firstLine="0"/>
    </w:pPr>
  </w:style>
  <w:style w:type="paragraph" w:customStyle="1" w:styleId="27">
    <w:name w:val="figurecaption"/>
    <w:basedOn w:val="1"/>
    <w:next w:val="1"/>
    <w:uiPriority w:val="0"/>
    <w:pPr>
      <w:keepLines/>
      <w:spacing w:before="120" w:after="240" w:line="220" w:lineRule="atLeast"/>
      <w:ind w:firstLine="0"/>
      <w:jc w:val="center"/>
    </w:pPr>
    <w:rPr>
      <w:sz w:val="18"/>
    </w:rPr>
  </w:style>
  <w:style w:type="paragraph" w:customStyle="1" w:styleId="28">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9">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30">
    <w:name w:val="heading3"/>
    <w:basedOn w:val="7"/>
    <w:uiPriority w:val="0"/>
    <w:rPr>
      <w:b/>
    </w:rPr>
  </w:style>
  <w:style w:type="paragraph" w:customStyle="1" w:styleId="31">
    <w:name w:val="acknowlegments"/>
    <w:basedOn w:val="1"/>
    <w:qFormat/>
    <w:uiPriority w:val="0"/>
    <w:pPr>
      <w:spacing w:before="240" w:line="220" w:lineRule="atLeast"/>
      <w:ind w:firstLine="0"/>
    </w:pPr>
    <w:rPr>
      <w:sz w:val="18"/>
    </w:rPr>
  </w:style>
  <w:style w:type="character" w:customStyle="1" w:styleId="32">
    <w:name w:val="heading4"/>
    <w:basedOn w:val="7"/>
    <w:uiPriority w:val="0"/>
    <w:rPr>
      <w:i/>
    </w:rPr>
  </w:style>
  <w:style w:type="paragraph" w:customStyle="1" w:styleId="33">
    <w:name w:val="image"/>
    <w:basedOn w:val="1"/>
    <w:next w:val="1"/>
    <w:qFormat/>
    <w:uiPriority w:val="0"/>
    <w:pPr>
      <w:spacing w:before="240" w:after="120"/>
      <w:ind w:firstLine="0"/>
      <w:jc w:val="center"/>
    </w:pPr>
  </w:style>
  <w:style w:type="paragraph" w:customStyle="1" w:styleId="34">
    <w:name w:val="keywords"/>
    <w:basedOn w:val="20"/>
    <w:next w:val="28"/>
    <w:uiPriority w:val="0"/>
    <w:pPr>
      <w:spacing w:before="220"/>
      <w:ind w:firstLine="0"/>
      <w:contextualSpacing w:val="0"/>
      <w:jc w:val="left"/>
    </w:pPr>
  </w:style>
  <w:style w:type="paragraph" w:customStyle="1" w:styleId="35">
    <w:name w:val="numitem"/>
    <w:basedOn w:val="1"/>
    <w:qFormat/>
    <w:uiPriority w:val="0"/>
    <w:pPr>
      <w:numPr>
        <w:ilvl w:val="0"/>
        <w:numId w:val="4"/>
      </w:numPr>
      <w:spacing w:before="160" w:after="160"/>
      <w:contextualSpacing/>
    </w:pPr>
  </w:style>
  <w:style w:type="paragraph" w:customStyle="1" w:styleId="36">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7">
    <w:name w:val="referenceitem"/>
    <w:basedOn w:val="1"/>
    <w:qFormat/>
    <w:uiPriority w:val="0"/>
    <w:pPr>
      <w:numPr>
        <w:ilvl w:val="0"/>
        <w:numId w:val="5"/>
      </w:numPr>
      <w:spacing w:line="220" w:lineRule="atLeast"/>
    </w:pPr>
    <w:rPr>
      <w:sz w:val="18"/>
    </w:rPr>
  </w:style>
  <w:style w:type="paragraph" w:customStyle="1" w:styleId="38">
    <w:name w:val="runninghead left"/>
    <w:basedOn w:val="1"/>
    <w:uiPriority w:val="0"/>
    <w:pPr>
      <w:tabs>
        <w:tab w:val="left" w:pos="680"/>
      </w:tabs>
      <w:ind w:firstLine="0"/>
      <w:jc w:val="left"/>
    </w:pPr>
    <w:rPr>
      <w:sz w:val="18"/>
      <w:szCs w:val="18"/>
    </w:rPr>
  </w:style>
  <w:style w:type="paragraph" w:customStyle="1" w:styleId="39">
    <w:name w:val="runninghead right"/>
    <w:basedOn w:val="1"/>
    <w:qFormat/>
    <w:uiPriority w:val="0"/>
    <w:pPr>
      <w:tabs>
        <w:tab w:val="right" w:pos="6237"/>
        <w:tab w:val="right" w:pos="6917"/>
      </w:tabs>
      <w:ind w:firstLine="0"/>
      <w:jc w:val="left"/>
    </w:pPr>
    <w:rPr>
      <w:bCs/>
      <w:sz w:val="18"/>
      <w:szCs w:val="18"/>
    </w:rPr>
  </w:style>
  <w:style w:type="paragraph" w:customStyle="1" w:styleId="40">
    <w:name w:val="papertitle"/>
    <w:basedOn w:val="1"/>
    <w:next w:val="22"/>
    <w:uiPriority w:val="0"/>
    <w:pPr>
      <w:keepNext/>
      <w:keepLines/>
      <w:suppressAutoHyphens/>
      <w:spacing w:after="480" w:line="360" w:lineRule="atLeast"/>
      <w:ind w:firstLine="0"/>
      <w:jc w:val="center"/>
    </w:pPr>
    <w:rPr>
      <w:b/>
      <w:sz w:val="28"/>
    </w:rPr>
  </w:style>
  <w:style w:type="paragraph" w:customStyle="1" w:styleId="41">
    <w:name w:val="papersubtitle"/>
    <w:basedOn w:val="40"/>
    <w:next w:val="22"/>
    <w:uiPriority w:val="0"/>
    <w:pPr>
      <w:spacing w:before="120" w:line="280" w:lineRule="atLeast"/>
    </w:pPr>
    <w:rPr>
      <w:sz w:val="24"/>
    </w:rPr>
  </w:style>
  <w:style w:type="paragraph" w:customStyle="1" w:styleId="42">
    <w:name w:val="tablecaption"/>
    <w:basedOn w:val="1"/>
    <w:next w:val="1"/>
    <w:qFormat/>
    <w:uiPriority w:val="0"/>
    <w:pPr>
      <w:keepNext/>
      <w:keepLines/>
      <w:spacing w:before="240" w:after="120" w:line="220" w:lineRule="atLeast"/>
      <w:ind w:firstLine="0"/>
      <w:jc w:val="center"/>
    </w:pPr>
    <w:rPr>
      <w:sz w:val="18"/>
    </w:rPr>
  </w:style>
  <w:style w:type="character" w:customStyle="1" w:styleId="43">
    <w:name w:val="url"/>
    <w:basedOn w:val="7"/>
    <w:uiPriority w:val="0"/>
    <w:rPr>
      <w:rFonts w:ascii="Courier" w:hAnsi="Courier"/>
    </w:rPr>
  </w:style>
  <w:style w:type="character" w:customStyle="1" w:styleId="44">
    <w:name w:val="ORCID"/>
    <w:basedOn w:val="7"/>
    <w:uiPriority w:val="0"/>
    <w:rPr>
      <w:position w:val="0"/>
      <w:vertAlign w:val="superscript"/>
    </w:rPr>
  </w:style>
  <w:style w:type="paragraph" w:customStyle="1" w:styleId="45">
    <w:name w:val="ReferenceLine"/>
    <w:basedOn w:val="3"/>
    <w:semiHidden/>
    <w:unhideWhenUsed/>
    <w:qFormat/>
    <w:uiPriority w:val="0"/>
    <w:pPr>
      <w:spacing w:line="200" w:lineRule="exact"/>
    </w:pPr>
    <w:rPr>
      <w:sz w:val="16"/>
    </w:rPr>
  </w:style>
  <w:style w:type="paragraph" w:styleId="46">
    <w:name w:val="List Paragraph"/>
    <w:basedOn w:val="1"/>
    <w:semiHidden/>
    <w:uiPriority w:val="0"/>
    <w:pPr>
      <w:ind w:left="720"/>
      <w:contextualSpacing/>
    </w:pPr>
  </w:style>
  <w:style w:type="character" w:customStyle="1" w:styleId="47">
    <w:name w:val="Unresolved Mention"/>
    <w:basedOn w:val="7"/>
    <w:semiHidden/>
    <w:unhideWhenUsed/>
    <w:uiPriority w:val="99"/>
    <w:rPr>
      <w:color w:val="605E5C"/>
      <w:shd w:val="clear" w:color="auto" w:fill="E1DFDD"/>
    </w:rPr>
  </w:style>
  <w:style w:type="character" w:customStyle="1" w:styleId="48">
    <w:name w:val="Comment Text Char"/>
    <w:basedOn w:val="7"/>
    <w:link w:val="10"/>
    <w:semiHidden/>
    <w:uiPriority w:val="0"/>
  </w:style>
  <w:style w:type="character" w:customStyle="1" w:styleId="49">
    <w:name w:val="Comment Subject Char"/>
    <w:basedOn w:val="48"/>
    <w:link w:val="11"/>
    <w:semiHidden/>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8364</Words>
  <Characters>47681</Characters>
  <Lines>397</Lines>
  <Paragraphs>111</Paragraphs>
  <TotalTime>337</TotalTime>
  <ScaleCrop>false</ScaleCrop>
  <LinksUpToDate>false</LinksUpToDate>
  <CharactersWithSpaces>55934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Phúc Hà Hoàng</dc:creator>
  <dc:description>Styles and macros for Springer Lecture Notes</dc:description>
  <cp:lastModifiedBy>Phúc Hà Hoàng</cp:lastModifiedBy>
  <cp:lastPrinted>2026-02-01T07:42:00Z</cp:lastPrinted>
  <dcterms:modified xsi:type="dcterms:W3CDTF">2026-04-16T14:27:49Z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A3FFC6A7CE5D40FC8CE4086E0EA1A077_12</vt:lpwstr>
  </property>
</Properties>
</file>