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Họvà tên: Hà Hoàng Phúc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MSSV: 222683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Lớp: DH22TIN07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30"/>
        </w:rPr>
        <w:t>BÀI 1: Hệthống quản lý thư viện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3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 Xác định các lớp ứng cửviên (Sách, Độc giả, Phiếu mượn, Nhân viên, Nhà xuất bản)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Sach: thực thểchính, quản lý thông tin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DocGia: người mượn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PhieuMuon: ghi nhận việc mượn/trả.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NhanVien: quản lý hệthống (thủthư, thủkho...).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NhaXuatBan: thông tin nguồn sách.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- Thuộc tính và hành vi (phương thức) của từng lớp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maSach (PK, string), tenSach (string), tacGia (string),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namXuatBan (int), maNXB (FK), soLuongTon (int), trangThai (string: "Có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sẵn"/"Đang mượn").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7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themSach (), capNhatSach (), xoaSach (), timKiemSach (),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capNhatTonKho ().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maDocGia (PK, string), hoTen (string), ngaySinh (date), diaChi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(string), soDienThoai (string), ngayDangKy (date), gioiTinh (boolean).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exact" w:before="0" w:after="0"/>
        <w:ind w:left="360" w:right="86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dangKyThe (), capNhatThongTin (), xemLichSuMuon ().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maPhieu (PK, string), maDocGia (FK), maSach (FK),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maNhanVien (FK), ngayMuon (date), ngayHenTra (date), ngayTraThucTe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(date), tinhTrang (string: "Đang mượn"/"Đã trả"/"Quá hạn").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exact" w:before="0" w:after="0"/>
        <w:ind w:left="360" w:right="14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taoPhieuMuon (), traSach (), kiemTraQuaHan (), tinhPhiPhat ().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4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maNhanVien (PK, string), hoTen (string), chucVu (string),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ngaySinh (date), soDienThoai (string).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dangNhap (), quanLyDocGia (), quanLyMuonTra (), quanLySach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28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maNXB (PK, string), tenNXB (string), diaChi (string), email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(string).</w:t>
      </w:r>
    </w:p>
    <w:p>
      <w:pPr>
        <w:autoSpaceDN w:val="0"/>
        <w:tabs>
          <w:tab w:pos="1440" w:val="left"/>
        </w:tabs>
        <w:autoSpaceDE w:val="0"/>
        <w:widowControl/>
        <w:spacing w:line="338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Hành vi: themNXB (), capNhatNXB ().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Các mối quan hệ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Sách và Nhà xuất bản: 1 sách – 1 NXB</w:t>
      </w:r>
    </w:p>
    <w:p>
      <w:pPr>
        <w:sectPr>
          <w:pgSz w:w="12240" w:h="15840"/>
          <w:pgMar w:top="708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5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Độc giảvà Phiếu mượn: 1 độc giả– nhiều phiếu mượn</w:t>
      </w:r>
    </w:p>
    <w:p>
      <w:pPr>
        <w:autoSpaceDN w:val="0"/>
        <w:autoSpaceDE w:val="0"/>
        <w:widowControl/>
        <w:spacing w:line="348" w:lineRule="exact" w:before="14" w:after="0"/>
        <w:ind w:left="5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Sách và Phiếu mượn: 1 sách – nhiều phiếu mượn</w:t>
      </w:r>
    </w:p>
    <w:p>
      <w:pPr>
        <w:autoSpaceDN w:val="0"/>
        <w:autoSpaceDE w:val="0"/>
        <w:widowControl/>
        <w:spacing w:line="350" w:lineRule="exact" w:before="16" w:after="0"/>
        <w:ind w:left="5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Nhân viên và Phiếu mượn: 1 nhân viên – nhiều phiếu mượn</w:t>
      </w:r>
    </w:p>
    <w:p>
      <w:pPr>
        <w:autoSpaceDN w:val="0"/>
        <w:autoSpaceDE w:val="0"/>
        <w:widowControl/>
        <w:spacing w:line="416" w:lineRule="exact" w:before="6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2: Hệthống quản lý bán hàng trực tuyến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Xác định các use case chính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Actor chính: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KhachHang (Khách hàng / Khách hàng tiềm năng).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NguoiQuanLy / Admin (Quản trịviên / Nhân viên bán hàng).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Use case chính (đăng ký khách hàng, đặt hàng, thanh toán, quản lý sản phẩm):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KhachHang: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DangKyTaiKhoan (Đăng ký khách hàng).</w:t>
      </w:r>
    </w:p>
    <w:p>
      <w:pPr>
        <w:autoSpaceDN w:val="0"/>
        <w:tabs>
          <w:tab w:pos="1440" w:val="left"/>
        </w:tabs>
        <w:autoSpaceDE w:val="0"/>
        <w:widowControl/>
        <w:spacing w:line="330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DangNhap (Đăng nhập).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XemSanPham (Tìm kiếm / Xem danh sách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ThemVaoGioHang (Thêm vào giỏhàng).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DatHang (Đặt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(Thanh toán online / COD).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XemDonHang (Xem lịch sửđơn hàng).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/ NguoiQuanLy: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QuanLySanPham (Thêm/Sửa/Xóa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QuanLyDonHang (Xem/Xác nhận/Hủy đơn 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QuanLyKhachHang (Quản lý thông tin khách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QuanLyThanhToan (Xửlý thanh toán, hoàn tiền nếu cần).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Extend / Include: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include XacNhanDonHang.</w:t>
      </w:r>
    </w:p>
    <w:p>
      <w:pPr>
        <w:autoSpaceDN w:val="0"/>
        <w:tabs>
          <w:tab w:pos="1504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DatHang extend ThanhToan (nếu thanh toán online).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Từuse case, tìm các lớp cần thiết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 (Customer): từđăng ký, xem đơn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SanPham (Product): quản lý sản phẩm.</w:t>
      </w:r>
    </w:p>
    <w:p>
      <w:pPr>
        <w:autoSpaceDN w:val="0"/>
        <w:autoSpaceDE w:val="0"/>
        <w:widowControl/>
        <w:spacing w:line="348" w:lineRule="exact" w:before="18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GioHang (Cart): tạm thời lưu sản phẩm trước khi đặt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(Order): từđặt hàng, thanh toán.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ChiTietDonHang (OrderDetail): chi tiết sản phẩm trong đơn.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(Payment): xửlý thanh toán (có thểcó subclass như OnlinePayment,</w:t>
      </w:r>
    </w:p>
    <w:p>
      <w:pPr>
        <w:autoSpaceDN w:val="0"/>
        <w:autoSpaceDE w:val="0"/>
        <w:widowControl/>
        <w:spacing w:line="348" w:lineRule="exact" w:before="0" w:after="0"/>
        <w:ind w:left="8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COD).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hoặc NguoiQuanLy (kếthừa từUser nếu có hệthống người dùng).</w:t>
      </w:r>
    </w:p>
    <w:p>
      <w:pPr>
        <w:sectPr>
          <w:pgSz w:w="12240" w:h="15840"/>
          <w:pgMar w:top="718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Phân tích quan hệgiữa các lớp (chỉrõ kếthừa nếu có)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 và DonHang: 1 khách hàng – nhiều đơn hàng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và ChiTietDonHang: 1 đơn hàng – nhiều chi tiết đơn (Composition)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ChiTietDonHang và SanPham: nhiều chi tiết đơn – 1 sản phẩm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và ThanhToan: 1 đơn hàng – 1 thanh toán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30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User (lớp trừu tượng) ←kếthừa ←KhachHang và Admin (KhachHang và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đều là một loại User, dùng chung tài khoản, mật khẩu, họtên).</w:t>
      </w:r>
    </w:p>
    <w:p>
      <w:pPr>
        <w:autoSpaceDN w:val="0"/>
        <w:autoSpaceDE w:val="0"/>
        <w:widowControl/>
        <w:spacing w:line="416" w:lineRule="exact" w:before="7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3: Chuyển sơ đò lớp thành các bảng dữliệu</w:t>
      </w:r>
    </w:p>
    <w:p>
      <w:pPr>
        <w:autoSpaceDN w:val="0"/>
        <w:autoSpaceDE w:val="0"/>
        <w:widowControl/>
        <w:spacing w:line="350" w:lineRule="exact" w:before="152" w:after="26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Bảng MonHoc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10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4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6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606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Not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soTinChiLT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soTinChiTH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exact" w:before="320" w:after="24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Bảng KhoaHoc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08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1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9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310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Not NULL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ngayTao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