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Họvà tên: Hà Hoàng Phúc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MSSV: 222683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Lớp: DH22TIN07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BÀI 1: Hệthống quản lý thư viện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Xác định các lớp ứng cửviên (Sách, Độc giả, Phiếu mượn, Nhân viên, Nhà xuất bản)</w:t>
      </w: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Thuộc tính và hành vi (phương thức) của từng lớp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o 	Thuộc tính: maSach (PK, string), tenSach (string), tacGia (string),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namXuatBan (int), maNXB (FK), soLuongTon (int), trangThai (string: "Có	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themSach (), capNhatSach (), xoaSach (), timKiemSach (),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capNhatTonKho ().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maDocGia (PK, string), hoTen (string), ngaySinh (date), diaChi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(string), soDienThoai (string), ngayDangKy (date), gioiTinh (boolean).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dangKyThe (), capNhatThongTin (), xemLichSuMuon ().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>o 	Thuộc tính: maPhieu (PK, string), maDocGia (FK), maSach (FK),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maNhanVien (FK), ngayMuon (date), ngayHenTra (date), ngayTraThucTe 	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taoPhieuMuon (), traSach (), kiemTraQuaHan (), tinhPhiPhat ().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maNhanVien (PK, string), hoTen (string), chucVu (string),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ngaySinh (date), soDienThoai (string).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dangNhap (), quanLyDocGia (), quanLyMuonTra (), quanLySach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maNXB (PK, string), tenNXB (string), diaChi (string), email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(string).</w:t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0"/>
        </w:rPr>
        <w:t xml:space="preserve">o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Các mối quan hệ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+Sách và Nhà xuất bản: 1 sách – 1 NXB</w:t>
      </w:r>
    </w:p>
    <w:p>
      <w:pPr>
        <w:sectPr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Phân tích quan hệgiữa các lớp (chỉrõ kếthừa nếu có)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+KhachHang và DonHang: 1 khách hàng – nhiều đơn hàng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+DonHang và ChiTietDonHang: 1 đơn hàng – nhiều chi tiết đơn (Composition)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+ChiTietDonHang và SanPham: nhiều chi tiết đơn – 1 sản phẩm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+DonHang và ThanhToan: 1 đơn hàng – 1 thanh toán</w:t>
      </w: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+User (lớp trừu tượng) ←kếthừa ←KhachHang và Admin (KhachHang và		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Bảng MonHoc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606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 xml:space="preserve">Not </w:t>
            </w:r>
            <w:r>
              <w:rPr>
                <w:rFonts w:ascii="Times New Roman" w:hAnsi="Times New Roman" w:eastAsia="Times New Roman" w:cs="Times New Roman"/>
              </w:rP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Bảng KhoaHoc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8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310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