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6"/>
        <w:ind w:left="0" w:right="0"/>
      </w:pPr>
    </w:p>
    <w:p>
      <w:pPr>
        <w:autoSpaceDN w:val="0"/>
        <w:tabs>
          <w:tab w:pos="360" w:val="left"/>
        </w:tabs>
        <w:autoSpaceDE w:val="0"/>
        <w:widowControl/>
        <w:spacing w:line="364" w:lineRule="exact" w:before="0" w:after="0"/>
        <w:ind w:left="0" w:right="2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Họvà tên: Hà Hoàng Phúc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MSSV: 222683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Lớp: DH22TIN07 </w:t>
      </w:r>
      <w:r/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1: Hệthống quản lý thư viện</w:t>
      </w:r>
      <w:r/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-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Xác định các lớp ứng cửviên (Sách, Độc giả, Phiếu mượn, Nhân viên, Nhà xuất bản)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Sach: thực thểchính, quản lý thông tin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DocGia: người mượn sách.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PhieuMuon: ghi nhận việc mượn/trả.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NhanVien: quản lý hệthống (thủthư, thủkho...).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NhaXuatBan: thông tin nguồn sách.</w:t>
      </w:r>
    </w:p>
    <w:p>
      <w:pPr>
        <w:autoSpaceDN w:val="0"/>
        <w:tabs>
          <w:tab w:pos="360" w:val="left"/>
        </w:tabs>
        <w:autoSpaceDE w:val="0"/>
        <w:widowControl/>
        <w:spacing w:line="346" w:lineRule="exact" w:before="2" w:after="0"/>
        <w:ind w:left="0" w:right="3888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- Thuộc tính và hành vi (phương thức) của từng lớp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Sach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maSach (PK, string), tenSach (string), tacGia (string), </w:t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namXuatBan (int), maNXB (FK), soLuongTon (int), trangThai (string: "Có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sẵn"/"Đang mượn").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72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themSach (), capNhatSach (), xoaSach (), timKiemSach (),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capNhatTonKho ().</w:t>
      </w:r>
    </w:p>
    <w:p>
      <w:pPr>
        <w:autoSpaceDN w:val="0"/>
        <w:autoSpaceDE w:val="0"/>
        <w:widowControl/>
        <w:spacing w:line="348" w:lineRule="exact" w:before="0" w:after="0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DocGia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maDocGia (PK, string), hoTen (string), ngaySinh (date), diaChi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(string), soDienThoai (string), ngayDangKy (date), gioiTinh (boolean).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46" w:lineRule="exact" w:before="0" w:after="0"/>
        <w:ind w:left="360" w:right="864" w:firstLine="0"/>
        <w:jc w:val="left"/>
      </w:pPr>
      <w:r/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dangKyThe (), capNhatThongTin (), xemLichSuMuon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PhieuMuon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maPhieu (PK, string), maDocGia (FK), maSach (FK), </w:t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maNhanVien (FK), ngayMuon (date), ngayHenTra (date), ngayTraThucTe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(date), tinhTrang (string: "Đang mượn"/"Đã trả"/"Quá hạn").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50" w:lineRule="exact" w:before="0" w:after="0"/>
        <w:ind w:left="360" w:right="144" w:firstLine="0"/>
        <w:jc w:val="left"/>
      </w:pPr>
      <w:r/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taoPhieuMuon (), traSach (), kiemTraQuaHan (), tinhPhiPhat ().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NhanVien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432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maNhanVien (PK, string), hoTen (string), chucVu (string),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ngaySinh (date), soDienThoai (string).</w:t>
      </w:r>
    </w:p>
    <w:p>
      <w:pPr>
        <w:autoSpaceDN w:val="0"/>
        <w:tabs>
          <w:tab w:pos="1440" w:val="left"/>
        </w:tabs>
        <w:autoSpaceDE w:val="0"/>
        <w:widowControl/>
        <w:spacing w:line="346" w:lineRule="exact" w:before="0" w:after="0"/>
        <w:ind w:left="1080" w:right="144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Hành vi: dangNhap (), quanLyDocGia (), quanLyMuonTra (), quanLySach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NhaXuatBan</w:t>
      </w:r>
    </w:p>
    <w:p>
      <w:pPr>
        <w:autoSpaceDN w:val="0"/>
        <w:tabs>
          <w:tab w:pos="1440" w:val="left"/>
        </w:tabs>
        <w:autoSpaceDE w:val="0"/>
        <w:widowControl/>
        <w:spacing w:line="348" w:lineRule="exact" w:before="0" w:after="0"/>
        <w:ind w:left="1080" w:right="288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 xml:space="preserve">Thuộc tính: maNXB (PK, string), tenNXB (string), diaChi (string), email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(string).</w:t>
      </w:r>
    </w:p>
    <w:p>
      <w:pPr>
        <w:autoSpaceDN w:val="0"/>
        <w:tabs>
          <w:tab w:pos="1440" w:val="left"/>
        </w:tabs>
        <w:autoSpaceDE w:val="0"/>
        <w:widowControl/>
        <w:spacing w:line="338" w:lineRule="exact" w:before="0" w:after="0"/>
        <w:ind w:left="1080" w:right="0" w:firstLine="0"/>
        <w:jc w:val="left"/>
      </w:pPr>
      <w:r>
        <w:rPr>
          <w:rFonts w:ascii="Courier New" w:hAnsi="Courier New" w:eastAsia="Courier New" w:cs="Courier New"/>
          <w:b w:val="0"/>
          <w:i w:val="0"/>
          <w:color w:val="000000"/>
          <w:sz w:val="20"/>
        </w:rPr>
        <w:t xml:space="preserve">o </w:t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Hành vi: themNXB (), capNhatNXB ().</w:t>
      </w:r>
    </w:p>
    <w:p>
      <w:pPr>
        <w:autoSpaceDN w:val="0"/>
        <w:tabs>
          <w:tab w:pos="540" w:val="left"/>
        </w:tabs>
        <w:autoSpaceDE w:val="0"/>
        <w:widowControl/>
        <w:spacing w:line="358" w:lineRule="exact" w:before="0" w:after="0"/>
        <w:ind w:left="0" w:right="4464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Các mối quan hệ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Sách và Nhà xuất bản: 1 sách – 1 NXB</w:t>
      </w:r>
    </w:p>
    <w:p>
      <w:pPr>
        <w:sectPr>
          <w:headerReference w:type="default" r:id="rId9"/>
          <w:footerReference w:type="default" r:id="rId10"/>
          <w:pgSz w:w="12240" w:h="15840"/>
          <w:pgMar w:top="708" w:right="1440" w:bottom="74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348" w:lineRule="exact" w:before="0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Độc giảvà Phiếu mượn: 1 độc giả– nhiều phiếu mượn</w:t>
      </w:r>
    </w:p>
    <w:p>
      <w:pPr>
        <w:autoSpaceDN w:val="0"/>
        <w:autoSpaceDE w:val="0"/>
        <w:widowControl/>
        <w:spacing w:line="348" w:lineRule="exact" w:before="14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Sách và Phiếu mượn: 1 sách – nhiều phiếu mượn</w:t>
      </w:r>
    </w:p>
    <w:p>
      <w:pPr>
        <w:autoSpaceDN w:val="0"/>
        <w:autoSpaceDE w:val="0"/>
        <w:widowControl/>
        <w:spacing w:line="350" w:lineRule="exact" w:before="16" w:after="0"/>
        <w:ind w:left="54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Nhân viên và Phiếu mượn: 1 nhân viên – nhiều phiếu mượn</w:t>
      </w:r>
    </w:p>
    <w:p>
      <w:pPr>
        <w:autoSpaceDN w:val="0"/>
        <w:autoSpaceDE w:val="0"/>
        <w:widowControl/>
        <w:spacing w:line="416" w:lineRule="exact" w:before="68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2: Hệthống quản lý bán hàng trực tuyến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Xác định các use case chính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Actor chính: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KhachHang (Khách hàng / Khách hàng tiềm năng).</w:t>
      </w:r>
    </w:p>
    <w:p>
      <w:pPr>
        <w:autoSpaceDN w:val="0"/>
        <w:autoSpaceDE w:val="0"/>
        <w:widowControl/>
        <w:spacing w:line="348" w:lineRule="exact" w:before="0" w:after="0"/>
        <w:ind w:left="44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+ NguoiQuanLy / Admin (Quản trịviên / Nhân viên bán hàng).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Use case chính (đăng ký khách hàng, đặt hàng, thanh toán, quản lý sản phẩm):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KhachHang: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DangKyTaiKhoan (Đăng ký khách hàng).</w:t>
      </w:r>
    </w:p>
    <w:p>
      <w:pPr>
        <w:autoSpaceDN w:val="0"/>
        <w:tabs>
          <w:tab w:pos="1440" w:val="left"/>
        </w:tabs>
        <w:autoSpaceDE w:val="0"/>
        <w:widowControl/>
        <w:spacing w:line="330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DangNhap (Đăng nhập).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XemSanPham (Tìm kiếm / Xem danh sách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ThemVaoGioHang (Thêm vào giỏhàng).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(Đặt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(Thanh toán online / COD).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XemDonHang (Xem lịch sửđơn hàng).</w:t>
      </w:r>
    </w:p>
    <w:p>
      <w:pPr>
        <w:autoSpaceDN w:val="0"/>
        <w:autoSpaceDE w:val="0"/>
        <w:widowControl/>
        <w:spacing w:line="350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/ NguoiQuanLy:</w:t>
      </w:r>
    </w:p>
    <w:p>
      <w:pPr>
        <w:autoSpaceDN w:val="0"/>
        <w:tabs>
          <w:tab w:pos="1440" w:val="left"/>
        </w:tabs>
        <w:autoSpaceDE w:val="0"/>
        <w:widowControl/>
        <w:spacing w:line="336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QuanLySanPham (Thêm/Sửa/Xóa sản phẩm).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QuanLyDonHang (Xem/Xác nhận/Hủy đơn hàng).</w:t>
      </w:r>
    </w:p>
    <w:p>
      <w:pPr>
        <w:autoSpaceDN w:val="0"/>
        <w:tabs>
          <w:tab w:pos="1440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QuanLyKhachHang (Quản lý thông tin khách hàng).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QuanLyThanhToan (Xửlý thanh toán, hoàn tiền nếu cần).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Extend / Include:</w:t>
      </w:r>
    </w:p>
    <w:p>
      <w:pPr>
        <w:autoSpaceDN w:val="0"/>
        <w:tabs>
          <w:tab w:pos="1440" w:val="left"/>
        </w:tabs>
        <w:autoSpaceDE w:val="0"/>
        <w:widowControl/>
        <w:spacing w:line="332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include XacNhanDonHang.</w:t>
      </w:r>
    </w:p>
    <w:p>
      <w:pPr>
        <w:autoSpaceDN w:val="0"/>
        <w:tabs>
          <w:tab w:pos="1504" w:val="left"/>
        </w:tabs>
        <w:autoSpaceDE w:val="0"/>
        <w:widowControl/>
        <w:spacing w:line="334" w:lineRule="exact" w:before="0" w:after="0"/>
        <w:ind w:left="1080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DatHang extend ThanhToan (nếu thanh toán online).</w:t>
      </w:r>
    </w:p>
    <w:p>
      <w:pPr>
        <w:autoSpaceDN w:val="0"/>
        <w:autoSpaceDE w:val="0"/>
        <w:widowControl/>
        <w:spacing w:line="348" w:lineRule="exact" w:before="0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Từuse case, tìm các lớp cần thiết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 (Customer): từđăng ký, xem đơn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SanPham (Product): quản lý sản phẩm.</w:t>
      </w:r>
    </w:p>
    <w:p>
      <w:pPr>
        <w:autoSpaceDN w:val="0"/>
        <w:autoSpaceDE w:val="0"/>
        <w:widowControl/>
        <w:spacing w:line="348" w:lineRule="exact" w:before="18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GioHang (Cart): tạm thời lưu sản phẩm trước khi đặt hàng.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(Order): từđặt hàng, thanh toán.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ChiTietDonHang (OrderDetail): chi tiết sản phẩm trong đơn.</w:t>
      </w:r>
    </w:p>
    <w:p>
      <w:pPr>
        <w:autoSpaceDN w:val="0"/>
        <w:autoSpaceDE w:val="0"/>
        <w:widowControl/>
        <w:spacing w:line="348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ThanhToan (Payment): xửlý thanh toán (có thểcó subclass như OnlinePayment,</w:t>
      </w:r>
    </w:p>
    <w:p>
      <w:pPr>
        <w:autoSpaceDN w:val="0"/>
        <w:autoSpaceDE w:val="0"/>
        <w:widowControl/>
        <w:spacing w:line="348" w:lineRule="exact" w:before="0" w:after="0"/>
        <w:ind w:left="808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COD).</w:t>
      </w:r>
    </w:p>
    <w:p>
      <w:pPr>
        <w:autoSpaceDN w:val="0"/>
        <w:autoSpaceDE w:val="0"/>
        <w:widowControl/>
        <w:spacing w:line="350" w:lineRule="exact" w:before="16" w:after="0"/>
        <w:ind w:left="448" w:right="0" w:firstLine="0"/>
        <w:jc w:val="left"/>
      </w:pPr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hoặc NguoiQuanLy (kếthừa từUser nếu có hệthống người dùng).</w:t>
      </w:r>
    </w:p>
    <w:p>
      <w:pPr>
        <w:sectPr>
          <w:pgSz w:w="12240" w:h="15840"/>
          <w:pgMar w:top="718" w:right="1440" w:bottom="73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8"/>
        <w:ind w:left="0" w:right="0"/>
      </w:pPr>
    </w:p>
    <w:p>
      <w:pPr>
        <w:autoSpaceDN w:val="0"/>
        <w:tabs>
          <w:tab w:pos="540" w:val="left"/>
          <w:tab w:pos="1440" w:val="left"/>
        </w:tabs>
        <w:autoSpaceDE w:val="0"/>
        <w:widowControl/>
        <w:spacing w:line="366" w:lineRule="exact" w:before="0" w:after="0"/>
        <w:ind w:left="0" w:right="432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- Phân tích quan hệgiữa các lớp (chỉrõ kếthừa nếu có)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KhachHang và DonHang: 1 khách hàng – nhiều đơn hàng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và ChiTietDonHang: 1 đơn hàng – nhiều chi tiết đơn (Composition)</w:t>
      </w:r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ChiTietDonHang và SanPham: nhiều chi tiết đơn – 1 sản phẩm</w:t>
      </w:r>
      <w:r/>
      <w:r/>
      <w:r>
        <w:rPr>
          <w:rFonts w:ascii="Symbol" w:hAnsi="Symbol" w:eastAsia="Symbol" w:cs="Symbol"/>
          <w:b w:val="0"/>
          <w:i w:val="0"/>
          <w:color w:val="000000"/>
          <w:sz w:val="26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DonHang và ThanhToan: 1 đơn hàng – 1 thanh toán</w:t>
      </w:r>
      <w:r/>
      <w:r/>
      <w:r>
        <w:rPr>
          <w:rFonts w:ascii="Symbol" w:hAnsi="Symbol" w:eastAsia="Symbol" w:cs="Symbol"/>
          <w:b w:val="0"/>
          <w:i w:val="0"/>
          <w:color w:val="000000"/>
          <w:sz w:val="30"/>
        </w:rPr>
        <w:sym w:font="Symbol" w:char="F02B"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User (lớp trừu tượng) ←kếthừa ←KhachHang và Admin (KhachHang và</w:t>
      </w:r>
      <w:r/>
      <w:r/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Admin đều là một loại User, dùng chung tài khoản, mật khẩu, họtên).</w:t>
      </w:r>
    </w:p>
    <w:p>
      <w:pPr>
        <w:autoSpaceDN w:val="0"/>
        <w:autoSpaceDE w:val="0"/>
        <w:widowControl/>
        <w:spacing w:line="416" w:lineRule="exact" w:before="786" w:after="0"/>
        <w:ind w:left="0" w:righ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30"/>
        </w:rPr>
        <w:t>Bài 3: Chuyển sơ đò lớp thành các bảng dữliệu</w:t>
      </w:r>
    </w:p>
    <w:p>
      <w:pPr>
        <w:autoSpaceDN w:val="0"/>
        <w:autoSpaceDE w:val="0"/>
        <w:widowControl/>
        <w:spacing w:line="350" w:lineRule="exact" w:before="152" w:after="26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MonHoc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10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4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6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606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50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 xml:space="preserve">Not </w:t>
            </w:r>
            <w:r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NULL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tenMon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soTinChiLT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4</w:t>
            </w:r>
          </w:p>
        </w:tc>
        <w:tc>
          <w:tcPr>
            <w:tcW w:type="dxa" w:w="24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soTinChiTH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Int</w:t>
            </w:r>
          </w:p>
        </w:tc>
        <w:tc>
          <w:tcPr>
            <w:tcW w:type="dxa" w:w="7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1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0" w:lineRule="exact" w:before="320" w:after="24"/>
        <w:ind w:left="360" w:right="0"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6"/>
        </w:rPr>
        <w:t>Bảng KhoaHoc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5.99999999999994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08"/>
        </w:trPr>
        <w:tc>
          <w:tcPr>
            <w:tcW w:type="dxa" w:w="1172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STT</w:t>
            </w:r>
          </w:p>
        </w:tc>
        <w:tc>
          <w:tcPr>
            <w:tcW w:type="dxa" w:w="2148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Tên trường</w:t>
            </w:r>
          </w:p>
        </w:tc>
        <w:tc>
          <w:tcPr>
            <w:tcW w:type="dxa" w:w="1616"/>
            <w:vMerge w:val="restart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Kiểu dữliệu</w:t>
            </w:r>
          </w:p>
        </w:tc>
        <w:tc>
          <w:tcPr>
            <w:tcW w:type="dxa" w:w="3970"/>
            <w:gridSpan w:val="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Ràng buộc</w:t>
            </w:r>
          </w:p>
        </w:tc>
      </w:tr>
      <w:tr>
        <w:trPr>
          <w:trHeight w:hRule="exact" w:val="310"/>
        </w:trPr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1337"/>
            <w:vMerge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</w:tcPr>
          <w:p/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PK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FK</w:t>
            </w:r>
          </w:p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Not NULL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Unique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1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maKhoaHoc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Nvarchar(10)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</w:tr>
      <w:tr>
        <w:trPr>
          <w:trHeight w:hRule="exact" w:val="310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2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tenKhoaHoc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Nvarchar(50)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117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type="dxa" w:w="214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ngayTao</w:t>
            </w:r>
          </w:p>
        </w:tc>
        <w:tc>
          <w:tcPr>
            <w:tcW w:type="dxa" w:w="16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Date</w:t>
            </w:r>
          </w:p>
        </w:tc>
        <w:tc>
          <w:tcPr>
            <w:tcW w:type="dxa" w:w="8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26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6"/>
              </w:rPr>
              <w:t>x</w:t>
            </w:r>
          </w:p>
        </w:tc>
        <w:tc>
          <w:tcPr>
            <w:tcW w:type="dxa" w:w="102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 New" w:hAnsi="Courier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 New" w:hAnsi="Courier New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