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Họvà tên: Hà Hoàng Phúc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MSSV: 222683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Lớp: DH22TIN07 </w:t>
      </w:r>
      <w:r/>
      <w:r>
        <w:rPr>
          <w:rFonts w:ascii="TimesNewRomanPS" w:hAnsi="TimesNewRomanPS" w:eastAsia="TimesNewRomanPS"/>
          <w:b/>
          <w:i w:val="0"/>
          <w:color w:val="000000"/>
          <w:sz w:val="30"/>
        </w:rPr>
        <w:t>BÀI 1: Hệthống quản lý thư viện</w:t>
      </w:r>
      <w:r/>
      <w:r>
        <w:rPr>
          <w:rFonts w:ascii="TimesNewRomanPS" w:hAnsi="TimesNewRomanPS" w:eastAsia="TimesNewRomanPS"/>
          <w:b/>
          <w:i w:val="0"/>
          <w:color w:val="000000"/>
          <w:sz w:val="3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Xác định các lớp ứng cửviên (Sách, Độc giả, Phiếu mượn, Nhân viên, Nhà xuất bản)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- Thuộc tính và hành vi (phương thức) của từng lớp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maSach (PK, string), tenSach (string), tacGia (string),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namXuatBan (int), maNXB (FK), soLuongTon (int), trangThai (string: "Có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themSach (), capNhatSach (), xoaSach (), timKiemSach (),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/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maPhieu (PK, string), maDocGia (FK), maSach (FK),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maNhanVien (FK), ngayMuon (date), ngayHenTra (date), ngayTraThucTe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/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maNhanVien (PK, string), hoTen (string), chucVu (string),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dangNhap (), quanLyDocGia (), quanLyMuonTra (), quanLySach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maNXB (PK, string), tenNXB (string), diaChi (string), email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Các mối quan hệ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Nhà xuất bản: 1 sách – 1 NXB</w:t>
      </w:r>
    </w:p>
    <w:p>
      <w:pPr>
        <w:sectPr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và DonHang: 1 khách hàng – nhiều đơn hàng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ChiTietDonHang: 1 đơn hàng – nhiều chi tiết đơn (Composition)</w:t>
      </w:r>
      <w:r/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và SanPham: nhiều chi tiết đơn – 1 sản phẩm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ThanhToan: 1 đơn hàng – 1 thanh toán</w:t>
      </w:r>
      <w:r/>
      <w:r/>
      <w:r>
        <w:rPr>
          <w:rFonts w:ascii="SymbolMT" w:hAnsi="SymbolMT" w:eastAsia="SymbolMT"/>
          <w:b w:val="0"/>
          <w:i w:val="0"/>
          <w:color w:val="000000"/>
          <w:sz w:val="30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User (lớp trừu tượng) ←kếthừa ←KhachHang và Admin (KhachHang và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