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实验一、数据显示输出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   segment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dat1    dw     0ffffh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      dw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   ends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   segment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assume cs:code,ds:data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ds,ax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bx,dat1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bin_show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crlf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bx,dat1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hex_show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crlf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bx,dat1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dec_show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call crlf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count1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bx,cn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dec_show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mov ah,4ch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 21h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hex_show 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t2:     push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cl,4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rol bx,cl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dl,bl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dl,0fh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dl,30h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cmp dl,39h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jbe print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dl,7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print:  mov ah,2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hex_show endp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bin_show 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t1:     rol bx,1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dl,bl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dl,01h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dl,30h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ah,2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loop 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bin_show endp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dec_show 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cx,10000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 dec_div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 dec_div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 dec_div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 dec_div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cx,1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 dec_div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dec_show endp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dec_div 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dx,0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ax,bx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div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bx,dx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dl,al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dl,30h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ah,2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dec_div endp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bx,dat1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cx,16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t:                              shl bx,1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jnc 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dx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next:                        loop 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cn,dx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crlf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mov dl,0dh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ah,2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21h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dl,0ah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ah,2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21h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crlf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 begin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D24E4"/>
    <w:rsid w:val="5CA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2019-12-19T02:23:00Z</dcterms:created>
  <dc:creator>熏依阑珊</dc:creator>
  <cp:lastModifiedBy>熏依阑珊</cp:lastModifiedBy>
  <dcterms:modified xsi:type="dcterms:W3CDTF">2019-12-19T02:33:52Z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