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B365D"/>
          <w:sz w:val="40"/>
        </w:rPr>
        <w:t>BÁO CÁO PHÂN TÍCH &amp; BÀI HỌC BẢO MẬT</w:t>
        <w:br/>
        <w:t>SỰ CỐ EMAIL GIẢ MẠO (PHISHING)</w:t>
      </w:r>
    </w:p>
    <w:p>
      <w:pPr>
        <w:spacing w:after="320"/>
      </w:pPr>
      <w:r>
        <w:rPr>
          <w:i/>
          <w:color w:val="4A5568"/>
          <w:sz w:val="22"/>
        </w:rPr>
        <w:t>Tình huống: Nhân viên văn phòng nhận email yêu cầu cập nhật thông tin tài khoản công ty khẩn cấp</w:t>
      </w:r>
    </w:p>
    <w:p>
      <w:pPr>
        <w:keepNext/>
        <w:spacing w:before="320" w:after="160"/>
        <w:pBdr>
          <w:bottom w:val="single" w:sz="12" w:space="4" w:color="1B365D"/>
        </w:pBdr>
      </w:pPr>
      <w:r>
        <w:rPr>
          <w:rFonts w:ascii="Calibri" w:hAnsi="Calibri"/>
          <w:b/>
          <w:color w:val="1B365D"/>
          <w:sz w:val="32"/>
        </w:rPr>
        <w:t>1. Xác Định Dạng Tấn Công Kỹ Thuật Xã Hội (Social Engineering)</w:t>
      </w:r>
    </w:p>
    <w:p>
      <w:r>
        <w:rPr>
          <w:color w:val="2D3748"/>
        </w:rPr>
        <w:t xml:space="preserve">Tình huống trên là một ví dụ điển hình của hình thức tấn công </w:t>
      </w:r>
      <w:r>
        <w:rPr>
          <w:b/>
          <w:color w:val="1B365D"/>
        </w:rPr>
        <w:t>Tấn công Giả mạo (Phishing)</w:t>
      </w:r>
      <w:r>
        <w:rPr>
          <w:color w:val="2D3748"/>
        </w:rPr>
        <w:t xml:space="preserve"> – cụ thể là </w:t>
      </w:r>
      <w:r>
        <w:rPr>
          <w:b/>
          <w:color w:val="1B365D"/>
        </w:rPr>
        <w:t>Email Phishing / Spear Phishing (Tấn công giả mạo có mục tiêu vào doanh nghiệp)</w:t>
      </w:r>
      <w:r>
        <w:t>.</w:t>
      </w:r>
    </w:p>
    <w:p>
      <w:r>
        <w:t>Tấn công xã hội học (Social Engineering) dựa trên việc thao túng tâm lý con người thay vì khai thác lỗ hổng phần mềm. Kẻ tấn công đóng giả làm một thực thể đáng tin cậy (Bộ phận IT, Ban Quản trị, Hệ thống Bảo mật) để lừa nhân viên tiết lộ thông tin nhạy cảm như mật khẩu, mã OTP, hoặc dữ liệu nội bộ.</w:t>
      </w:r>
    </w:p>
    <w:p>
      <w:pPr>
        <w:keepNext/>
        <w:spacing w:before="320" w:after="160"/>
        <w:pBdr>
          <w:bottom w:val="single" w:sz="12" w:space="4" w:color="1B365D"/>
        </w:pBdr>
      </w:pPr>
      <w:r>
        <w:rPr>
          <w:rFonts w:ascii="Calibri" w:hAnsi="Calibri"/>
          <w:b/>
          <w:color w:val="1B365D"/>
          <w:sz w:val="32"/>
        </w:rPr>
        <w:t>2. Phân Tích Các Dấu Hiệu Bất Thường Trong Email</w:t>
      </w:r>
    </w:p>
    <w:p>
      <w:r>
        <w:t>Qua đánh giá nội dung và bối cảnh email nhận được, các dấu hiệu nhận biết nguy cơ giả mạo bao gồm: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pPr>
              <w:jc w:val="left"/>
            </w:pPr>
            <w:r>
              <w:rPr>
                <w:b/>
                <w:color w:val="FFFFFF"/>
                <w:sz w:val="20"/>
              </w:rPr>
              <w:t>Dấu hiệu nhận biết</w:t>
            </w:r>
          </w:p>
        </w:tc>
        <w:tc>
          <w:tcPr>
            <w:tcW w:type="dxa" w:w="3888"/>
            <w:shd w:fill="1B365D"/>
          </w:tcPr>
          <w:p>
            <w:pPr>
              <w:jc w:val="left"/>
            </w:pPr>
            <w:r>
              <w:rPr>
                <w:b/>
                <w:color w:val="FFFFFF"/>
                <w:sz w:val="20"/>
              </w:rPr>
              <w:t>Chi tiết phân tích</w:t>
            </w:r>
          </w:p>
        </w:tc>
        <w:tc>
          <w:tcPr>
            <w:tcW w:type="dxa" w:w="2880"/>
            <w:shd w:fill="1B365D"/>
          </w:tcPr>
          <w:p>
            <w:pPr>
              <w:jc w:val="left"/>
            </w:pPr>
            <w:r>
              <w:rPr>
                <w:b/>
                <w:color w:val="FFFFFF"/>
                <w:sz w:val="20"/>
              </w:rPr>
              <w:t>Mục đích của kẻ tấn công</w:t>
            </w:r>
          </w:p>
        </w:tc>
      </w:tr>
      <w:tr>
        <w:tc>
          <w:tcPr>
            <w:tcW w:type="dxa" w:w="2592"/>
            <w:shd w:fill="FFFFFF"/>
            <w:tcBorders>
              <w:top w:val="single" w:sz="4" w:space="0" w:color="E2E8F0"/>
              <w:left w:val="none"/>
              <w:bottom w:val="single" w:sz="4" w:space="0" w:color="E2E8F0"/>
              <w:right w:val="none"/>
            </w:tcBorders>
          </w:tcPr>
          <w:p>
            <w:pPr>
              <w:spacing w:before="60" w:after="60"/>
            </w:pPr>
            <w:r>
              <w:rPr>
                <w:sz w:val="19"/>
              </w:rPr>
              <w:t>Tính chất khẩn cấp giả tạo</w:t>
              <w:br/>
              <w:t>(Urgency &amp; Fear)</w:t>
            </w:r>
          </w:p>
        </w:tc>
        <w:tc>
          <w:tcPr>
            <w:tcW w:type="dxa" w:w="3888"/>
            <w:shd w:fill="FFFFFF"/>
            <w:tcBorders>
              <w:top w:val="single" w:sz="4" w:space="0" w:color="E2E8F0"/>
              <w:left w:val="none"/>
              <w:bottom w:val="single" w:sz="4" w:space="0" w:color="E2E8F0"/>
              <w:right w:val="none"/>
            </w:tcBorders>
          </w:tcPr>
          <w:p>
            <w:pPr>
              <w:spacing w:before="60" w:after="60"/>
            </w:pPr>
            <w:r>
              <w:rPr>
                <w:sz w:val="19"/>
              </w:rPr>
              <w:t>Tiêu đề chứa cụm từ 'Khẩn cấp: Cần cập nhật thông tin bảo mật của bạn'. Bối cảnh thúc ép xử lý ngay.</w:t>
            </w:r>
          </w:p>
        </w:tc>
        <w:tc>
          <w:tcPr>
            <w:tcW w:type="dxa" w:w="2880"/>
            <w:shd w:fill="FFFFFF"/>
            <w:tcBorders>
              <w:top w:val="single" w:sz="4" w:space="0" w:color="E2E8F0"/>
              <w:left w:val="none"/>
              <w:bottom w:val="single" w:sz="4" w:space="0" w:color="E2E8F0"/>
              <w:right w:val="none"/>
            </w:tcBorders>
          </w:tcPr>
          <w:p>
            <w:pPr>
              <w:spacing w:before="60" w:after="60"/>
            </w:pPr>
            <w:r>
              <w:rPr>
                <w:sz w:val="19"/>
              </w:rPr>
              <w:t>Tạo tâm lý hoang mang, khiến nạn nhân hành động vội vàng mà không kịp suy xét hay xác minh.</w:t>
            </w:r>
          </w:p>
        </w:tc>
      </w:tr>
      <w:tr>
        <w:tc>
          <w:tcPr>
            <w:tcW w:type="dxa" w:w="2592"/>
            <w:shd w:fill="F7FAFC"/>
            <w:tcBorders>
              <w:top w:val="single" w:sz="4" w:space="0" w:color="E2E8F0"/>
              <w:left w:val="none"/>
              <w:bottom w:val="single" w:sz="4" w:space="0" w:color="E2E8F0"/>
              <w:right w:val="none"/>
            </w:tcBorders>
          </w:tcPr>
          <w:p>
            <w:pPr>
              <w:spacing w:before="60" w:after="60"/>
            </w:pPr>
            <w:r>
              <w:rPr>
                <w:sz w:val="19"/>
              </w:rPr>
              <w:t>Người gửi không xác định</w:t>
              <w:br/>
              <w:t>(Unknown Sender)</w:t>
            </w:r>
          </w:p>
        </w:tc>
        <w:tc>
          <w:tcPr>
            <w:tcW w:type="dxa" w:w="3888"/>
            <w:shd w:fill="F7FAFC"/>
            <w:tcBorders>
              <w:top w:val="single" w:sz="4" w:space="0" w:color="E2E8F0"/>
              <w:left w:val="none"/>
              <w:bottom w:val="single" w:sz="4" w:space="0" w:color="E2E8F0"/>
              <w:right w:val="none"/>
            </w:tcBorders>
          </w:tcPr>
          <w:p>
            <w:pPr>
              <w:spacing w:before="60" w:after="60"/>
            </w:pPr>
            <w:r>
              <w:rPr>
                <w:sz w:val="19"/>
              </w:rPr>
              <w:t>Email gửi từ một 'người lạ' thay vì địa chỉ chính thức của Bộ phận IT, Quản trị hệ thống hoặc HR.</w:t>
            </w:r>
          </w:p>
        </w:tc>
        <w:tc>
          <w:tcPr>
            <w:tcW w:type="dxa" w:w="2880"/>
            <w:shd w:fill="F7FAFC"/>
            <w:tcBorders>
              <w:top w:val="single" w:sz="4" w:space="0" w:color="E2E8F0"/>
              <w:left w:val="none"/>
              <w:bottom w:val="single" w:sz="4" w:space="0" w:color="E2E8F0"/>
              <w:right w:val="none"/>
            </w:tcBorders>
          </w:tcPr>
          <w:p>
            <w:pPr>
              <w:spacing w:before="60" w:after="60"/>
            </w:pPr>
            <w:r>
              <w:rPr>
                <w:sz w:val="19"/>
              </w:rPr>
              <w:t>Lợi dụng danh nghĩa giả định để tiếp cận nhân viên nội bộ.</w:t>
            </w:r>
          </w:p>
        </w:tc>
      </w:tr>
      <w:tr>
        <w:tc>
          <w:tcPr>
            <w:tcW w:type="dxa" w:w="2592"/>
            <w:shd w:fill="FFFFFF"/>
            <w:tcBorders>
              <w:top w:val="single" w:sz="4" w:space="0" w:color="E2E8F0"/>
              <w:left w:val="none"/>
              <w:bottom w:val="single" w:sz="4" w:space="0" w:color="E2E8F0"/>
              <w:right w:val="none"/>
            </w:tcBorders>
          </w:tcPr>
          <w:p>
            <w:pPr>
              <w:spacing w:before="60" w:after="60"/>
            </w:pPr>
            <w:r>
              <w:rPr>
                <w:sz w:val="19"/>
              </w:rPr>
              <w:t>Địa chỉ Email bất thường</w:t>
              <w:br/>
              <w:t>(Spoofed / Fake Domain)</w:t>
            </w:r>
          </w:p>
        </w:tc>
        <w:tc>
          <w:tcPr>
            <w:tcW w:type="dxa" w:w="3888"/>
            <w:shd w:fill="FFFFFF"/>
            <w:tcBorders>
              <w:top w:val="single" w:sz="4" w:space="0" w:color="E2E8F0"/>
              <w:left w:val="none"/>
              <w:bottom w:val="single" w:sz="4" w:space="0" w:color="E2E8F0"/>
              <w:right w:val="none"/>
            </w:tcBorders>
          </w:tcPr>
          <w:p>
            <w:pPr>
              <w:spacing w:before="60" w:after="60"/>
            </w:pPr>
            <w:r>
              <w:rPr>
                <w:sz w:val="19"/>
              </w:rPr>
              <w:t>Địa chỉ thực tế thường dùng miền miễn phí (@gmail.com) hoặc miền gần giống (@company-security.com).</w:t>
            </w:r>
          </w:p>
        </w:tc>
        <w:tc>
          <w:tcPr>
            <w:tcW w:type="dxa" w:w="2880"/>
            <w:shd w:fill="FFFFFF"/>
            <w:tcBorders>
              <w:top w:val="single" w:sz="4" w:space="0" w:color="E2E8F0"/>
              <w:left w:val="none"/>
              <w:bottom w:val="single" w:sz="4" w:space="0" w:color="E2E8F0"/>
              <w:right w:val="none"/>
            </w:tcBorders>
          </w:tcPr>
          <w:p>
            <w:pPr>
              <w:spacing w:before="60" w:after="60"/>
            </w:pPr>
            <w:r>
              <w:rPr>
                <w:sz w:val="19"/>
              </w:rPr>
              <w:t>Đánh lừa thị giác người dùng nếu không kiểm tra kỹ tên miền gửi (Header).</w:t>
            </w:r>
          </w:p>
        </w:tc>
      </w:tr>
      <w:tr>
        <w:tc>
          <w:tcPr>
            <w:tcW w:type="dxa" w:w="2592"/>
            <w:shd w:fill="F7FAFC"/>
            <w:tcBorders>
              <w:top w:val="single" w:sz="4" w:space="0" w:color="E2E8F0"/>
              <w:left w:val="none"/>
              <w:bottom w:val="single" w:sz="4" w:space="0" w:color="E2E8F0"/>
              <w:right w:val="none"/>
            </w:tcBorders>
          </w:tcPr>
          <w:p>
            <w:pPr>
              <w:spacing w:before="60" w:after="60"/>
            </w:pPr>
            <w:r>
              <w:rPr>
                <w:sz w:val="19"/>
              </w:rPr>
              <w:t>Đường dẫn độc hại</w:t>
              <w:br/>
              <w:t>(Suspicious Link / URL)</w:t>
            </w:r>
          </w:p>
        </w:tc>
        <w:tc>
          <w:tcPr>
            <w:tcW w:type="dxa" w:w="3888"/>
            <w:shd w:fill="F7FAFC"/>
            <w:tcBorders>
              <w:top w:val="single" w:sz="4" w:space="0" w:color="E2E8F0"/>
              <w:left w:val="none"/>
              <w:bottom w:val="single" w:sz="4" w:space="0" w:color="E2E8F0"/>
              <w:right w:val="none"/>
            </w:tcBorders>
          </w:tcPr>
          <w:p>
            <w:pPr>
              <w:spacing w:before="60" w:after="60"/>
            </w:pPr>
            <w:r>
              <w:rPr>
                <w:sz w:val="19"/>
              </w:rPr>
              <w:t>Yêu cầu nhấp vào liên kết để cập nhật thông tin thay vì truy cập qua cổng portal nội bộ chuẩn.</w:t>
            </w:r>
          </w:p>
        </w:tc>
        <w:tc>
          <w:tcPr>
            <w:tcW w:type="dxa" w:w="2880"/>
            <w:shd w:fill="F7FAFC"/>
            <w:tcBorders>
              <w:top w:val="single" w:sz="4" w:space="0" w:color="E2E8F0"/>
              <w:left w:val="none"/>
              <w:bottom w:val="single" w:sz="4" w:space="0" w:color="E2E8F0"/>
              <w:right w:val="none"/>
            </w:tcBorders>
          </w:tcPr>
          <w:p>
            <w:pPr>
              <w:spacing w:before="60" w:after="60"/>
            </w:pPr>
            <w:r>
              <w:rPr>
                <w:sz w:val="19"/>
              </w:rPr>
              <w:t>Dẫn nạn nhân đến trang web giả mạo có giao diện giống hệt trang đăng nhập công ty để chiếm tài khoản.</w:t>
            </w:r>
          </w:p>
        </w:tc>
      </w:tr>
      <w:tr>
        <w:tc>
          <w:tcPr>
            <w:tcW w:type="dxa" w:w="2592"/>
            <w:shd w:fill="FFFFFF"/>
            <w:tcBorders>
              <w:top w:val="single" w:sz="4" w:space="0" w:color="E2E8F0"/>
              <w:left w:val="none"/>
              <w:bottom w:val="single" w:sz="4" w:space="0" w:color="E2E8F0"/>
              <w:right w:val="none"/>
            </w:tcBorders>
          </w:tcPr>
          <w:p>
            <w:pPr>
              <w:spacing w:before="60" w:after="60"/>
            </w:pPr>
            <w:r>
              <w:rPr>
                <w:sz w:val="19"/>
              </w:rPr>
              <w:t>Sai quy trình vận hành</w:t>
              <w:br/>
              <w:t>(Process Violation)</w:t>
            </w:r>
          </w:p>
        </w:tc>
        <w:tc>
          <w:tcPr>
            <w:tcW w:type="dxa" w:w="3888"/>
            <w:shd w:fill="FFFFFF"/>
            <w:tcBorders>
              <w:top w:val="single" w:sz="4" w:space="0" w:color="E2E8F0"/>
              <w:left w:val="none"/>
              <w:bottom w:val="single" w:sz="4" w:space="0" w:color="E2E8F0"/>
              <w:right w:val="none"/>
            </w:tcBorders>
          </w:tcPr>
          <w:p>
            <w:pPr>
              <w:spacing w:before="60" w:after="60"/>
            </w:pPr>
            <w:r>
              <w:rPr>
                <w:sz w:val="19"/>
              </w:rPr>
              <w:t>Quy trình IT chuẩn hiếm khi yêu cầu nhân viên đổi/cập nhật thông tin bảo mật qua liên kết từ email ngẫu nhiên.</w:t>
            </w:r>
          </w:p>
        </w:tc>
        <w:tc>
          <w:tcPr>
            <w:tcW w:type="dxa" w:w="2880"/>
            <w:shd w:fill="FFFFFF"/>
            <w:tcBorders>
              <w:top w:val="single" w:sz="4" w:space="0" w:color="E2E8F0"/>
              <w:left w:val="none"/>
              <w:bottom w:val="single" w:sz="4" w:space="0" w:color="E2E8F0"/>
              <w:right w:val="none"/>
            </w:tcBorders>
          </w:tcPr>
          <w:p>
            <w:pPr>
              <w:spacing w:before="60" w:after="60"/>
            </w:pPr>
            <w:r>
              <w:rPr>
                <w:sz w:val="19"/>
              </w:rPr>
              <w:t>Khai thác sự thiếu hiểu biết của nhân viên về quy định an toàn thông tin nội bộ.</w:t>
            </w:r>
          </w:p>
        </w:tc>
      </w:tr>
    </w:tbl>
    <w:p>
      <w:pPr>
        <w:spacing w:after="120"/>
      </w:pPr>
    </w:p>
    <w:p>
      <w:pPr>
        <w:keepNext/>
        <w:spacing w:before="320" w:after="160"/>
        <w:pBdr>
          <w:bottom w:val="single" w:sz="12" w:space="4" w:color="1B365D"/>
        </w:pBdr>
      </w:pPr>
      <w:r>
        <w:rPr>
          <w:rFonts w:ascii="Calibri" w:hAnsi="Calibri"/>
          <w:b/>
          <w:color w:val="1B365D"/>
          <w:sz w:val="32"/>
        </w:rPr>
        <w:t>3. Đề Xuất Quy Trình Xử Lý Cho Nhân Viên</w:t>
      </w:r>
    </w:p>
    <w:p>
      <w:r>
        <w:t>Nhan viên cần tuân thủ nghiêm ngặt các bước xử lý sau đây để đảm bảo an toàn cho hệ thống công ty:</w:t>
      </w:r>
    </w:p>
    <w:p>
      <w:pPr>
        <w:spacing w:before="120" w:after="40"/>
      </w:pPr>
      <w:r>
        <w:rPr>
          <w:b/>
          <w:color w:val="1B365D"/>
          <w:sz w:val="22"/>
        </w:rPr>
        <w:t>Bước 1: Tuyệt đối không thao tác</w:t>
      </w:r>
    </w:p>
    <w:p>
      <w:pPr>
        <w:pStyle w:val="ListBullet"/>
        <w:spacing w:before="0" w:after="40"/>
      </w:pPr>
      <w:r>
        <w:rPr>
          <w:sz w:val="20"/>
        </w:rPr>
        <w:t>KHÔNG nhấp vào bất kỳ liên kết (link) nào trong email.</w:t>
      </w:r>
    </w:p>
    <w:p>
      <w:pPr>
        <w:pStyle w:val="ListBullet"/>
        <w:spacing w:before="0" w:after="40"/>
      </w:pPr>
      <w:r>
        <w:rPr>
          <w:sz w:val="20"/>
        </w:rPr>
        <w:t>KHÔNG tải xuống hoặc mở các tệp đính kèm (nếu có).</w:t>
      </w:r>
    </w:p>
    <w:p>
      <w:pPr>
        <w:pStyle w:val="ListBullet"/>
        <w:spacing w:before="0" w:after="40"/>
      </w:pPr>
      <w:r>
        <w:rPr>
          <w:sz w:val="20"/>
        </w:rPr>
        <w:t>KHÔNG phản hồi (reply) email hoặc cung cấp bất kỳ thông tin cá nhân/mật khẩu nào.</w:t>
      </w:r>
    </w:p>
    <w:p>
      <w:pPr>
        <w:spacing w:before="120" w:after="40"/>
      </w:pPr>
      <w:r>
        <w:rPr>
          <w:b/>
          <w:color w:val="1B365D"/>
          <w:sz w:val="22"/>
        </w:rPr>
        <w:t>Bước 2: Kiểm tra &amp; Xác minh độc lập</w:t>
      </w:r>
    </w:p>
    <w:p>
      <w:pPr>
        <w:pStyle w:val="ListBullet"/>
        <w:spacing w:before="0" w:after="40"/>
      </w:pPr>
      <w:r>
        <w:rPr>
          <w:sz w:val="20"/>
        </w:rPr>
        <w:t>Rê chuột lên liên kết (Hover) mà không nhấp để kiểm tra địa chỉ URL thực tế ở góc màn hình.</w:t>
      </w:r>
    </w:p>
    <w:p>
      <w:pPr>
        <w:pStyle w:val="ListBullet"/>
        <w:spacing w:before="0" w:after="40"/>
      </w:pPr>
      <w:r>
        <w:rPr>
          <w:sz w:val="20"/>
        </w:rPr>
        <w:t>Kiểm tra địa chỉ email người gửi thực tế (Sender Address/Header), không chỉ nhìn vào tên hiển thị (Display Name).</w:t>
      </w:r>
    </w:p>
    <w:p>
      <w:pPr>
        <w:pStyle w:val="ListBullet"/>
        <w:spacing w:before="0" w:after="40"/>
      </w:pPr>
      <w:r>
        <w:rPr>
          <w:sz w:val="20"/>
        </w:rPr>
        <w:t>Liên hệ trực tiếp với Bộ phận IT/An ninh thông tin qua kênh liên lạc chính thức (SĐT nội bộ, Teams/Slack) để xác nhận có đợt cập nhật nào không.</w:t>
      </w:r>
    </w:p>
    <w:p>
      <w:pPr>
        <w:spacing w:before="120" w:after="40"/>
      </w:pPr>
      <w:r>
        <w:rPr>
          <w:b/>
          <w:color w:val="1B365D"/>
          <w:sz w:val="22"/>
        </w:rPr>
        <w:t>Bước 3: Báo cáo sự cố an ninh</w:t>
      </w:r>
    </w:p>
    <w:p>
      <w:pPr>
        <w:pStyle w:val="ListBullet"/>
        <w:spacing w:before="0" w:after="40"/>
      </w:pPr>
      <w:r>
        <w:rPr>
          <w:sz w:val="20"/>
        </w:rPr>
        <w:t>Forward (chuyển tiếp) email nghi ngờ dưới dạng tệp đính kèm cho bộ phận Chuyên trách IT/Bảo mật của công ty.</w:t>
      </w:r>
    </w:p>
    <w:p>
      <w:pPr>
        <w:pStyle w:val="ListBullet"/>
        <w:spacing w:before="0" w:after="40"/>
      </w:pPr>
      <w:r>
        <w:rPr>
          <w:sz w:val="20"/>
        </w:rPr>
        <w:t>Sử dụng tính năng 'Report Phishing' hoặc 'Report Spam' có sẵn trên công cụ email doanh nghiệp.</w:t>
      </w:r>
    </w:p>
    <w:p>
      <w:pPr>
        <w:pStyle w:val="ListBullet"/>
        <w:spacing w:before="0" w:after="40"/>
      </w:pPr>
      <w:r>
        <w:rPr>
          <w:sz w:val="20"/>
        </w:rPr>
        <w:t>Xóa hoàn toàn email khỏi hộp thư (Thùng rác) sau khi hoàn tất báo cáo.</w:t>
      </w:r>
    </w:p>
    <w:tbl>
      <w:tblPr>
        <w:tblW w:type="auto" w:w="0"/>
        <w:jc w:val="center"/>
        <w:tblLayout w:type="fixed"/>
        <w:tblLook w:firstColumn="1" w:firstRow="1" w:lastColumn="0" w:lastRow="0" w:noHBand="0" w:noVBand="1" w:val="04A0"/>
      </w:tblPr>
      <w:tblGrid>
        <w:gridCol w:w="9360"/>
      </w:tblGrid>
      <w:tr>
        <w:tc>
          <w:tcPr>
            <w:tcW w:type="dxa" w:w="9360"/>
            <w:shd w:fill="FFF5F5"/>
            <w:tcBorders>
              <w:top w:val="none"/>
              <w:left w:val="single" w:sz="24" w:space="0" w:color="C53030"/>
              <w:bottom w:val="none"/>
              <w:right w:val="none"/>
            </w:tcBorders>
          </w:tcPr>
          <w:p>
            <w:pPr>
              <w:spacing w:before="80" w:after="80"/>
              <w:ind w:left="144"/>
            </w:pPr>
            <w:r>
              <w:rPr>
                <w:b/>
                <w:color w:val="C53030"/>
                <w:sz w:val="21"/>
              </w:rPr>
              <w:t>KỊCH BẢN KHẨN CẤP: NẾU ĐÃ TRỠ NHẤP VÀO LINK HOẶC CUNG CẤP THÔNG TIN</w:t>
              <w:br/>
            </w:r>
          </w:p>
          <w:p>
            <w:pPr>
              <w:spacing w:before="40" w:after="80"/>
              <w:ind w:left="144"/>
            </w:pPr>
            <w:r>
              <w:rPr>
                <w:color w:val="2D3748"/>
                <w:sz w:val="20"/>
              </w:rPr>
              <w:t>1. Lập tức đổi mật khẩu tài khoản công ty trên một thiết bị an toàn khác.</w:t>
            </w:r>
          </w:p>
          <w:p>
            <w:pPr>
              <w:spacing w:before="40" w:after="80"/>
              <w:ind w:left="144"/>
            </w:pPr>
            <w:r>
              <w:rPr>
                <w:color w:val="2D3748"/>
                <w:sz w:val="20"/>
              </w:rPr>
              <w:t>2. Báo cáo khẩn cấp cho Quản trị viên IT để khóa tạm thời session hoặc kiểm tra nhật ký truy cập (Log).</w:t>
            </w:r>
          </w:p>
          <w:p>
            <w:pPr>
              <w:spacing w:before="40" w:after="80"/>
              <w:ind w:left="144"/>
            </w:pPr>
            <w:r>
              <w:rPr>
                <w:color w:val="2D3748"/>
                <w:sz w:val="20"/>
              </w:rPr>
              <w:t>3. Kiểm tra xem có bất kỳ quy tắc tự động chuyển tiếp email (Forwarding Rules) bất thường nào được tạo ra hay không.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