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Calibri" w:hAnsi="Calibri"/>
          <w:b/>
          <w:i w:val="0"/>
          <w:color w:val="000000"/>
          <w:sz w:val="26"/>
        </w:rPr>
        <w:t>XÂY DỰNG QUY TRÌNH XỬ LÝ DỮ LIỆU THIẾU VÀ NGOẠI LAI TẠI WINMART</w:t>
      </w:r>
    </w:p>
    <w:p>
      <w:pPr>
        <w:keepNext/>
        <w:spacing w:before="280" w:after="120" w:line="276" w:lineRule="auto"/>
      </w:pPr>
      <w:r>
        <w:rPr>
          <w:rFonts w:ascii="Calibri" w:hAnsi="Calibri"/>
          <w:b/>
          <w:i w:val="0"/>
          <w:color w:val="000000"/>
          <w:sz w:val="26"/>
        </w:rPr>
        <w:t>Phần 1: Chiến lược xử lý giá trị khuyết thiếu cho từng trường dữ liệu</w:t>
      </w:r>
    </w:p>
    <w:p>
      <w:pPr>
        <w:spacing w:line="276" w:lineRule="auto" w:after="120"/>
      </w:pPr>
      <w:r>
        <w:rPr>
          <w:rFonts w:ascii="Calibri" w:hAnsi="Calibri"/>
          <w:b w:val="0"/>
          <w:i w:val="0"/>
          <w:color w:val="000000"/>
          <w:sz w:val="26"/>
        </w:rPr>
        <w:t>Trong chuẩn bị dữ liệu (Data Preparation) cho mô hình dự báo sức mua tại 50 cửa hàng WinMart+, việc xử lý 205 bản ghi khuyết thiếu cần chiến lược điền khuyết (Imputation) khoa học:</w:t>
      </w:r>
    </w:p>
    <w:p>
      <w:pPr>
        <w:keepNext/>
        <w:spacing w:before="220" w:after="80" w:line="276" w:lineRule="auto"/>
      </w:pPr>
      <w:r>
        <w:rPr>
          <w:rFonts w:ascii="Calibri" w:hAnsi="Calibri"/>
          <w:b/>
          <w:i w:val="0"/>
          <w:color w:val="000000"/>
          <w:sz w:val="26"/>
        </w:rPr>
        <w:t>1. Giải pháp kỹ thuật theo từng trường hợp</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Trường hợp 1 (120 dòng UnitPrice IS NULL, Qty &gt; 0, Rev = 0): </w:t>
      </w:r>
    </w:p>
    <w:p>
      <w:pPr>
        <w:spacing w:line="276" w:lineRule="auto" w:after="120"/>
        <w:ind w:left="720"/>
      </w:pPr>
      <w:r>
        <w:rPr>
          <w:rFonts w:ascii="Calibri" w:hAnsi="Calibri"/>
          <w:b w:val="0"/>
          <w:i w:val="0"/>
          <w:color w:val="000000"/>
          <w:sz w:val="26"/>
        </w:rPr>
        <w:t xml:space="preserve">• </w:t>
      </w:r>
      <w:r>
        <w:rPr>
          <w:rFonts w:ascii="Calibri" w:hAnsi="Calibri"/>
          <w:b/>
          <w:i w:val="0"/>
          <w:color w:val="000000"/>
          <w:sz w:val="26"/>
        </w:rPr>
        <w:t xml:space="preserve">Bản chất: </w:t>
      </w:r>
      <w:r>
        <w:rPr>
          <w:rFonts w:ascii="Calibri" w:hAnsi="Calibri"/>
          <w:b w:val="0"/>
          <w:i w:val="0"/>
          <w:color w:val="000000"/>
          <w:sz w:val="26"/>
        </w:rPr>
        <w:t>Mặt hàng quà tặng kèm (Gift with Purchase). Hàng đã xuất kho nên không thể xóa bỏ.</w:t>
      </w:r>
    </w:p>
    <w:p>
      <w:pPr>
        <w:spacing w:line="276" w:lineRule="auto" w:after="120"/>
        <w:ind w:left="720"/>
      </w:pPr>
      <w:r>
        <w:rPr>
          <w:rFonts w:ascii="Calibri" w:hAnsi="Calibri"/>
          <w:b w:val="0"/>
          <w:i w:val="0"/>
          <w:color w:val="000000"/>
          <w:sz w:val="26"/>
        </w:rPr>
        <w:t xml:space="preserve">• </w:t>
      </w:r>
      <w:r>
        <w:rPr>
          <w:rFonts w:ascii="Calibri" w:hAnsi="Calibri"/>
          <w:b/>
          <w:i w:val="0"/>
          <w:color w:val="000000"/>
          <w:sz w:val="26"/>
        </w:rPr>
        <w:t xml:space="preserve">Giải pháp: </w:t>
      </w:r>
      <w:r>
        <w:rPr>
          <w:rFonts w:ascii="Calibri" w:hAnsi="Calibri"/>
          <w:b w:val="0"/>
          <w:i w:val="0"/>
          <w:color w:val="000000"/>
          <w:sz w:val="26"/>
        </w:rPr>
        <w:t>Liên kết (Lookup/Join) danh mục sản phẩm chuẩn (Dim_Product) theo ProductID lấy giá vốn (COGS) hoặc giá niêm yết. Nếu là vật phẩm quảng cáo (POSM), điền UnitPrice = 0 VNĐ kèm cờ Is_Promotional = TRUE để tách khỏi doanh số bán lẻ tiêu chuẩn.</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Trường hợp 2 (85 dòng EmployeeID IS NULL): </w:t>
      </w:r>
    </w:p>
    <w:p>
      <w:pPr>
        <w:spacing w:line="276" w:lineRule="auto" w:after="120"/>
        <w:ind w:left="720"/>
      </w:pPr>
      <w:r>
        <w:rPr>
          <w:rFonts w:ascii="Calibri" w:hAnsi="Calibri"/>
          <w:b w:val="0"/>
          <w:i w:val="0"/>
          <w:color w:val="000000"/>
          <w:sz w:val="26"/>
        </w:rPr>
        <w:t xml:space="preserve">• </w:t>
      </w:r>
      <w:r>
        <w:rPr>
          <w:rFonts w:ascii="Calibri" w:hAnsi="Calibri"/>
          <w:b/>
          <w:i w:val="0"/>
          <w:color w:val="000000"/>
          <w:sz w:val="26"/>
        </w:rPr>
        <w:t xml:space="preserve">Bản chất: </w:t>
      </w:r>
      <w:r>
        <w:rPr>
          <w:rFonts w:ascii="Calibri" w:hAnsi="Calibri"/>
          <w:b w:val="0"/>
          <w:i w:val="0"/>
          <w:color w:val="000000"/>
          <w:sz w:val="26"/>
        </w:rPr>
        <w:t>Giao dịch quầy tự thanh toán (Self-checkout) hoặc thu ngân đăng nhập offline khi mất mạng.</w:t>
      </w:r>
    </w:p>
    <w:p>
      <w:pPr>
        <w:spacing w:line="276" w:lineRule="auto" w:after="120"/>
        <w:ind w:left="720"/>
      </w:pPr>
      <w:r>
        <w:rPr>
          <w:rFonts w:ascii="Calibri" w:hAnsi="Calibri"/>
          <w:b w:val="0"/>
          <w:i w:val="0"/>
          <w:color w:val="000000"/>
          <w:sz w:val="26"/>
        </w:rPr>
        <w:t xml:space="preserve">• </w:t>
      </w:r>
      <w:r>
        <w:rPr>
          <w:rFonts w:ascii="Calibri" w:hAnsi="Calibri"/>
          <w:b/>
          <w:i w:val="0"/>
          <w:color w:val="000000"/>
          <w:sz w:val="26"/>
        </w:rPr>
        <w:t xml:space="preserve">Giải pháp: </w:t>
      </w:r>
      <w:r>
        <w:rPr>
          <w:rFonts w:ascii="Calibri" w:hAnsi="Calibri"/>
          <w:b w:val="0"/>
          <w:i w:val="0"/>
          <w:color w:val="000000"/>
          <w:sz w:val="26"/>
        </w:rPr>
        <w:t>Điền mã mặc định EmployeeID = 'NV_UNKNOWN' (hoặc -1). Biến nhân viên không tác động tới sức mua, việc gán nhãn giúp giữ nguyên bản ghi mà không làm lệch mô hình.</w:t>
      </w:r>
    </w:p>
    <w:p>
      <w:pPr>
        <w:keepNext/>
        <w:spacing w:before="220" w:after="80" w:line="276" w:lineRule="auto"/>
      </w:pPr>
      <w:r>
        <w:rPr>
          <w:rFonts w:ascii="Calibri" w:hAnsi="Calibri"/>
          <w:b/>
          <w:i w:val="0"/>
          <w:color w:val="000000"/>
          <w:sz w:val="26"/>
        </w:rPr>
        <w:t>2. So sánh giữa phương án Xóa bỏ và Điền khuyết</w:t>
      </w:r>
    </w:p>
    <w:tbl>
      <w:tblPr>
        <w:tblW w:type="auto" w:w="0"/>
        <w:jc w:val="center"/>
        <w:tblLook w:firstColumn="1" w:firstRow="1" w:lastColumn="0" w:lastRow="0" w:noHBand="0" w:noVBand="1" w:val="04A0"/>
        <w:tblBorders>
          <w:top w:val="single" w:sz="6" w:color="000000"/>
          <w:bottom w:val="single" w:sz="6" w:color="000000"/>
          <w:left w:val="none"/>
          <w:right w:val="none"/>
          <w:insideH w:val="single" w:sz="4" w:color="D3D3D3"/>
          <w:insideV w:val="none"/>
        </w:tblBorders>
      </w:tblPr>
      <w:tblGrid>
        <w:gridCol w:w="3120"/>
        <w:gridCol w:w="3120"/>
        <w:gridCol w:w="3120"/>
      </w:tblGrid>
      <w:tr>
        <w:tc>
          <w:tcPr>
            <w:tcW w:type="dxa" w:w="2016"/>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Tiêu chí</w:t>
            </w:r>
          </w:p>
        </w:tc>
        <w:tc>
          <w:tcPr>
            <w:tcW w:type="dxa" w:w="4032"/>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Xóa bỏ (Listwise Deletion)</w:t>
            </w:r>
          </w:p>
        </w:tc>
        <w:tc>
          <w:tcPr>
            <w:tcW w:type="dxa" w:w="4176"/>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Điền khuyết (Imputation)</w:t>
            </w:r>
          </w:p>
        </w:tc>
      </w:tr>
      <w:tr>
        <w:tc>
          <w:tcPr>
            <w:tcW w:type="dxa" w:w="201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Quy mô mẫu</w:t>
            </w:r>
          </w:p>
        </w:tc>
        <w:tc>
          <w:tcPr>
            <w:tcW w:type="dxa" w:w="4032"/>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Mất 205 giao dịch (2.05%), giảm dung lượng mẫu.</w:t>
            </w:r>
          </w:p>
        </w:tc>
        <w:tc>
          <w:tcPr>
            <w:tcW w:type="dxa" w:w="4176"/>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Bảo toàn 10,000 giao dịch ban đầu, giữ nguyên kích thước.</w:t>
            </w:r>
          </w:p>
        </w:tc>
      </w:tr>
      <w:tr>
        <w:tc>
          <w:tcPr>
            <w:tcW w:type="dxa" w:w="201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Doanh thu</w:t>
            </w:r>
          </w:p>
        </w:tc>
        <w:tc>
          <w:tcPr>
            <w:tcW w:type="dxa" w:w="4032"/>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Bóp méo lượng tiêu thụ thực tế và chuỗi thời gian.</w:t>
            </w:r>
          </w:p>
        </w:tc>
        <w:tc>
          <w:tcPr>
            <w:tcW w:type="dxa" w:w="4176"/>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Phản ánh chính xác lưu lượng hàng hóa luân chuyển.</w:t>
            </w:r>
          </w:p>
        </w:tc>
      </w:tr>
      <w:tr>
        <w:tc>
          <w:tcPr>
            <w:tcW w:type="dxa" w:w="201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Độ phức tạp</w:t>
            </w:r>
          </w:p>
        </w:tc>
        <w:tc>
          <w:tcPr>
            <w:tcW w:type="dxa" w:w="4032"/>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Đơn giản, chỉ cần câu lệnh lọc bỏ dòng NULL.</w:t>
            </w:r>
          </w:p>
        </w:tc>
        <w:tc>
          <w:tcPr>
            <w:tcW w:type="dxa" w:w="4176"/>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Cần đối soát Master Data và phân loại nghiệp vụ.</w:t>
            </w:r>
          </w:p>
        </w:tc>
      </w:tr>
      <w:tr>
        <w:tc>
          <w:tcPr>
            <w:tcW w:type="dxa" w:w="201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Khuyến nghị</w:t>
            </w:r>
          </w:p>
        </w:tc>
        <w:tc>
          <w:tcPr>
            <w:tcW w:type="dxa" w:w="4032"/>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Không khuyến nghị vì gây sai lệch dữ liệu.</w:t>
            </w:r>
          </w:p>
        </w:tc>
        <w:tc>
          <w:tcPr>
            <w:tcW w:type="dxa" w:w="4176"/>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Khuyến nghị áp dụng cho hệ thống bán lẻ hiện đại.</w:t>
            </w:r>
          </w:p>
        </w:tc>
      </w:tr>
    </w:tbl>
    <w:p>
      <w:pPr>
        <w:spacing w:line="276" w:lineRule="auto" w:after="120"/>
      </w:pPr>
      <w:r>
        <w:rPr>
          <w:rFonts w:ascii="Calibri" w:hAnsi="Calibri"/>
          <w:b w:val="0"/>
          <w:i w:val="0"/>
          <w:color w:val="000000"/>
          <w:sz w:val="26"/>
        </w:rPr>
      </w:r>
    </w:p>
    <w:p>
      <w:pPr>
        <w:keepNext/>
        <w:spacing w:before="280" w:after="120" w:line="276" w:lineRule="auto"/>
      </w:pPr>
      <w:r>
        <w:rPr>
          <w:rFonts w:ascii="Calibri" w:hAnsi="Calibri"/>
          <w:b/>
          <w:i w:val="0"/>
          <w:color w:val="000000"/>
          <w:sz w:val="26"/>
        </w:rPr>
        <w:t>Phần 2: Phương pháp chuẩn hóa ngoại lai Winsorization và công thức toán học</w:t>
      </w:r>
    </w:p>
    <w:p>
      <w:pPr>
        <w:keepNext/>
        <w:spacing w:before="220" w:after="80" w:line="276" w:lineRule="auto"/>
      </w:pPr>
      <w:r>
        <w:rPr>
          <w:rFonts w:ascii="Calibri" w:hAnsi="Calibri"/>
          <w:b/>
          <w:i w:val="0"/>
          <w:color w:val="000000"/>
          <w:sz w:val="26"/>
        </w:rPr>
        <w:t>1. So sánh kỹ thuật Winsorization và Truncation</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Kỹ thuật Cắt tỉa (Truncation): </w:t>
      </w:r>
      <w:r>
        <w:rPr>
          <w:rFonts w:ascii="Calibri" w:hAnsi="Calibri"/>
          <w:b w:val="0"/>
          <w:i w:val="0"/>
          <w:color w:val="000000"/>
          <w:sz w:val="26"/>
        </w:rPr>
        <w:t>Loại bỏ hoàn toàn 15 đơn hàng trên 20 triệu đồng. Cách này làm mất dữ liệu mua sỉ thực tế, làm giảm tổng dung lượng thị trường và cắt bớt kích thước tập mẫu.</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Kỹ thuật Làm mịn (Winsorization): </w:t>
      </w:r>
      <w:r>
        <w:rPr>
          <w:rFonts w:ascii="Calibri" w:hAnsi="Calibri"/>
          <w:b w:val="0"/>
          <w:i w:val="0"/>
          <w:color w:val="000000"/>
          <w:sz w:val="26"/>
        </w:rPr>
        <w:t>Kẹp (clip) các giá trị cực đoan vượt quá ngưỡng phân vị về đúng giá trị tại ngưỡng đó. Phương pháp này giữ nguyên kích thước N = 10,000 bản ghi, hạn chế độ lệch trọng số trong mô hình học máy (Regression, Neural Networks) mà không làm mất thông tin tần suất giao dịch.</w:t>
      </w:r>
    </w:p>
    <w:p>
      <w:pPr>
        <w:keepNext/>
        <w:spacing w:before="220" w:after="80" w:line="276" w:lineRule="auto"/>
      </w:pPr>
      <w:r>
        <w:rPr>
          <w:rFonts w:ascii="Calibri" w:hAnsi="Calibri"/>
          <w:b/>
          <w:i w:val="0"/>
          <w:color w:val="000000"/>
          <w:sz w:val="26"/>
        </w:rPr>
        <w:t>2. Công thức toán học của kỹ thuật Winsorization tại phân vị P99</w:t>
      </w:r>
    </w:p>
    <w:p>
      <w:pPr>
        <w:spacing w:line="276" w:lineRule="auto" w:after="120"/>
      </w:pPr>
      <w:r>
        <w:rPr>
          <w:rFonts w:ascii="Calibri" w:hAnsi="Calibri"/>
          <w:b w:val="0"/>
          <w:i w:val="0"/>
          <w:color w:val="000000"/>
          <w:sz w:val="26"/>
        </w:rPr>
        <w:t>Giả sử tập dữ liệu doanh số sắp xếp tăng dần X = {x_1, x_2, ..., x_n} với n = 10,000, ngưỡng phân vị thứ 99 là P99. Công thức làm mịn Winsorization chặn trên được định nghĩa:</w:t>
      </w:r>
    </w:p>
    <w:p>
      <w:pPr>
        <w:spacing w:line="276" w:lineRule="auto" w:after="120"/>
        <w:ind w:left="720"/>
      </w:pPr>
      <w:r>
        <w:rPr>
          <w:rFonts w:ascii="Calibri" w:hAnsi="Calibri"/>
          <w:b w:val="0"/>
          <w:i w:val="0"/>
          <w:color w:val="000000"/>
          <w:sz w:val="26"/>
        </w:rPr>
        <w:t>x_{i, winsorized} = P99  (nếu x_i &gt; P99)  hoặc  x_i  (nếu x_i &lt;= P99)</w:t>
      </w:r>
    </w:p>
    <w:p>
      <w:pPr>
        <w:spacing w:line="276" w:lineRule="auto" w:after="120"/>
      </w:pPr>
      <w:r>
        <w:rPr>
          <w:rFonts w:ascii="Calibri" w:hAnsi="Calibri"/>
          <w:b w:val="0"/>
          <w:i w:val="0"/>
          <w:color w:val="000000"/>
          <w:sz w:val="26"/>
        </w:rPr>
        <w:t>Toàn bộ 15 đơn hàng vượt 20 triệu đồng sẽ được thay bằng giá trị tại P99, triệt tiêu ảnh hưởng ngoại lai cực đoan nhưng vẫn bảo toàn đầy đủ quan sát.</w:t>
      </w:r>
    </w:p>
    <w:p>
      <w:pPr>
        <w:keepNext/>
        <w:spacing w:before="280" w:after="120" w:line="276" w:lineRule="auto"/>
      </w:pPr>
      <w:r>
        <w:rPr>
          <w:rFonts w:ascii="Calibri" w:hAnsi="Calibri"/>
          <w:b/>
          <w:i w:val="0"/>
          <w:color w:val="000000"/>
          <w:sz w:val="26"/>
        </w:rPr>
        <w:t>Phần 3: Bảng đối chiếu các đại lượng thống kê mô tả trước và sau xử lý</w:t>
      </w:r>
    </w:p>
    <w:p>
      <w:pPr>
        <w:spacing w:line="276" w:lineRule="auto" w:after="120"/>
      </w:pPr>
      <w:r>
        <w:rPr>
          <w:rFonts w:ascii="Calibri" w:hAnsi="Calibri"/>
          <w:b w:val="0"/>
          <w:i w:val="0"/>
          <w:color w:val="000000"/>
          <w:sz w:val="26"/>
        </w:rPr>
        <w:t>Đánh giá biến động các chỉ số thống kê mô tả của tập dữ liệu 10,000 giao dịch WinMart+ trước và sau khi làm mịn Winsorization:</w:t>
      </w:r>
    </w:p>
    <w:tbl>
      <w:tblPr>
        <w:tblW w:type="auto" w:w="0"/>
        <w:jc w:val="center"/>
        <w:tblLook w:firstColumn="1" w:firstRow="1" w:lastColumn="0" w:lastRow="0" w:noHBand="0" w:noVBand="1" w:val="04A0"/>
        <w:tblBorders>
          <w:top w:val="single" w:sz="6" w:color="000000"/>
          <w:bottom w:val="single" w:sz="6" w:color="000000"/>
          <w:left w:val="none"/>
          <w:right w:val="none"/>
          <w:insideH w:val="single" w:sz="4" w:color="D3D3D3"/>
          <w:insideV w:val="none"/>
        </w:tblBorders>
      </w:tblPr>
      <w:tblGrid>
        <w:gridCol w:w="1872"/>
        <w:gridCol w:w="1872"/>
        <w:gridCol w:w="1872"/>
        <w:gridCol w:w="1872"/>
        <w:gridCol w:w="1872"/>
      </w:tblGrid>
      <w:tr>
        <w:tc>
          <w:tcPr>
            <w:tcW w:type="dxa" w:w="2160"/>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Chỉ số</w:t>
            </w:r>
          </w:p>
        </w:tc>
        <w:tc>
          <w:tcPr>
            <w:tcW w:type="dxa" w:w="1728"/>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Trước xử lý</w:t>
            </w:r>
          </w:p>
        </w:tc>
        <w:tc>
          <w:tcPr>
            <w:tcW w:type="dxa" w:w="2160"/>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Sau Winsorization (P99)</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Biến động (%)</w:t>
            </w:r>
          </w:p>
        </w:tc>
        <w:tc>
          <w:tcPr>
            <w:tcW w:type="dxa" w:w="2592"/>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Ý nghĩa nghiệp vụ và phân tích</w:t>
            </w:r>
          </w:p>
        </w:tc>
      </w:tr>
      <w:tr>
        <w:tc>
          <w:tcPr>
            <w:tcW w:type="dxa" w:w="216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Số quan sát (N)</w:t>
            </w:r>
          </w:p>
        </w:tc>
        <w:tc>
          <w:tcPr>
            <w:tcW w:type="dxa" w:w="1728"/>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10,000</w:t>
            </w:r>
          </w:p>
        </w:tc>
        <w:tc>
          <w:tcPr>
            <w:tcW w:type="dxa" w:w="216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10,000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0.0%</w:t>
            </w:r>
          </w:p>
        </w:tc>
        <w:tc>
          <w:tcPr>
            <w:tcW w:type="dxa" w:w="2592"/>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Bảo toàn trọn vẹn tập mẫu huấn luyện mô hình Machine Learning.</w:t>
            </w:r>
          </w:p>
        </w:tc>
      </w:tr>
      <w:tr>
        <w:tc>
          <w:tcPr>
            <w:tcW w:type="dxa" w:w="216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Trung bình (Mean)</w:t>
            </w:r>
          </w:p>
        </w:tc>
        <w:tc>
          <w:tcPr>
            <w:tcW w:type="dxa" w:w="1728"/>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142,500 VNĐ</w:t>
            </w:r>
          </w:p>
        </w:tc>
        <w:tc>
          <w:tcPr>
            <w:tcW w:type="dxa" w:w="216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106,200 VNĐ</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-25.5%</w:t>
            </w:r>
          </w:p>
        </w:tc>
        <w:tc>
          <w:tcPr>
            <w:tcW w:type="dxa" w:w="2592"/>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Giảm về sát thực tế giỏ hàng, không còn bị kéo lệch phải.</w:t>
            </w:r>
          </w:p>
        </w:tc>
      </w:tr>
      <w:tr>
        <w:tc>
          <w:tcPr>
            <w:tcW w:type="dxa" w:w="216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Trung vị (Median)</w:t>
            </w:r>
          </w:p>
        </w:tc>
        <w:tc>
          <w:tcPr>
            <w:tcW w:type="dxa" w:w="1728"/>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95,000 VNĐ</w:t>
            </w:r>
          </w:p>
        </w:tc>
        <w:tc>
          <w:tcPr>
            <w:tcW w:type="dxa" w:w="216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95,000 VNĐ</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0.0%</w:t>
            </w:r>
          </w:p>
        </w:tc>
        <w:tc>
          <w:tcPr>
            <w:tcW w:type="dxa" w:w="2592"/>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Giữ nguyên tuyệt đối, thể hiện tính kháng ngoại lai hoàn hảo.</w:t>
            </w:r>
          </w:p>
        </w:tc>
      </w:tr>
      <w:tr>
        <w:tc>
          <w:tcPr>
            <w:tcW w:type="dxa" w:w="216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Độ lệch chuẩn (Std)</w:t>
            </w:r>
          </w:p>
        </w:tc>
        <w:tc>
          <w:tcPr>
            <w:tcW w:type="dxa" w:w="1728"/>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345,000 VNĐ</w:t>
            </w:r>
          </w:p>
        </w:tc>
        <w:tc>
          <w:tcPr>
            <w:tcW w:type="dxa" w:w="216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58,400 VNĐ</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-83.1%</w:t>
            </w:r>
          </w:p>
        </w:tc>
        <w:tc>
          <w:tcPr>
            <w:tcW w:type="dxa" w:w="2592"/>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Độ phân tán co hẹp rõ rệt, triệt tiêu phương sai giả tạo.</w:t>
            </w:r>
          </w:p>
        </w:tc>
      </w:tr>
    </w:tbl>
    <w:p>
      <w:pPr>
        <w:spacing w:line="276" w:lineRule="auto" w:after="120"/>
      </w:pPr>
      <w:r>
        <w:rPr>
          <w:rFonts w:ascii="Calibri" w:hAnsi="Calibri"/>
          <w:b w:val="0"/>
          <w:i w:val="0"/>
          <w:color w:val="000000"/>
          <w:sz w:val="26"/>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