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Calibri" w:hAnsi="Calibri"/>
          <w:b/>
          <w:i w:val="0"/>
          <w:color w:val="000000"/>
          <w:sz w:val="26"/>
        </w:rPr>
        <w:t>PHÂN TÍCH DRILL-DOWN VÀ ROLL-UP CƠ CẤU DOANH SỐ TẠI STARBUCKS VIETNAM</w:t>
      </w:r>
    </w:p>
    <w:p>
      <w:pPr>
        <w:keepNext/>
        <w:spacing w:before="280" w:after="120" w:line="276" w:lineRule="auto"/>
      </w:pPr>
      <w:r>
        <w:rPr>
          <w:rFonts w:ascii="Calibri" w:hAnsi="Calibri"/>
          <w:b/>
          <w:i w:val="0"/>
          <w:color w:val="000000"/>
          <w:sz w:val="26"/>
        </w:rPr>
        <w:t>Phần 1: Bảng phân tích phân rã Drill-down từ Vùng xuống Cửa hàng</w:t>
      </w:r>
    </w:p>
    <w:p>
      <w:pPr>
        <w:spacing w:line="276" w:lineRule="auto" w:after="120"/>
      </w:pPr>
      <w:r>
        <w:rPr>
          <w:rFonts w:ascii="Calibri" w:hAnsi="Calibri"/>
          <w:b w:val="0"/>
          <w:i w:val="0"/>
          <w:color w:val="000000"/>
          <w:sz w:val="26"/>
        </w:rPr>
        <w:t>Thao tác phân rã dữ liệu (Drill-down) từ cấp Vùng (Hà Nội) xuống Cửa hàng giúp nhận diện nguyên nhân doanh thu toàn miền Bắc chỉ đạt 92% kế hoạch:</w:t>
      </w:r>
    </w:p>
    <w:tbl>
      <w:tblPr>
        <w:tblW w:type="auto" w:w="0"/>
        <w:jc w:val="center"/>
        <w:tblLook w:firstColumn="1" w:firstRow="1" w:lastColumn="0" w:lastRow="0" w:noHBand="0" w:noVBand="1" w:val="04A0"/>
        <w:tblBorders>
          <w:top w:val="single" w:sz="6" w:color="000000"/>
          <w:bottom w:val="single" w:sz="6" w:color="000000"/>
          <w:left w:val="none"/>
          <w:right w:val="none"/>
          <w:insideH w:val="single" w:sz="4" w:color="D3D3D3"/>
          <w:insideV w:val="none"/>
        </w:tblBorders>
      </w:tblPr>
      <w:tblGrid>
        <w:gridCol w:w="1337"/>
        <w:gridCol w:w="1337"/>
        <w:gridCol w:w="1337"/>
        <w:gridCol w:w="1337"/>
        <w:gridCol w:w="1337"/>
        <w:gridCol w:w="1337"/>
        <w:gridCol w:w="1337"/>
      </w:tblGrid>
      <w:tr>
        <w:tc>
          <w:tcPr>
            <w:tcW w:type="dxa" w:w="115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Cấp độ</w:t>
            </w:r>
          </w:p>
        </w:tc>
        <w:tc>
          <w:tcPr>
            <w:tcW w:type="dxa" w:w="259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Tên phân cấp</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Kế hoạch (VNĐ)</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Thực tế (VNĐ)</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Tỷ lệ KPI (%)</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Chênh lệch (VNĐ)</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Đánh giá</w:t>
            </w:r>
          </w:p>
        </w:tc>
      </w:tr>
      <w:tr>
        <w:tc>
          <w:tcPr>
            <w:tcW w:type="dxa" w:w="115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Cấp 1</w:t>
            </w:r>
          </w:p>
        </w:tc>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Toàn miền Bắc (Hà Nội)</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1,000,000,000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920,000,000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92.0%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-80,000,000</w:t>
            </w:r>
          </w:p>
        </w:tc>
        <w:tc>
          <w:tcPr>
            <w:tcW w:type="dxa" w:w="1584"/>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Hụt chỉ tiêu</w:t>
            </w:r>
          </w:p>
        </w:tc>
      </w:tr>
      <w:tr>
        <w:tc>
          <w:tcPr>
            <w:tcW w:type="dxa" w:w="115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Cấp 2</w:t>
            </w:r>
          </w:p>
        </w:tc>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SB Nhà Thờ (Hoàn Kiếm)</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400,000,000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410,000,000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102.5%</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+10,000,000</w:t>
            </w:r>
          </w:p>
        </w:tc>
        <w:tc>
          <w:tcPr>
            <w:tcW w:type="dxa" w:w="1584"/>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Vượt chỉ tiêu</w:t>
            </w:r>
          </w:p>
        </w:tc>
      </w:tr>
      <w:tr>
        <w:tc>
          <w:tcPr>
            <w:tcW w:type="dxa" w:w="115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Cấp 2</w:t>
            </w:r>
          </w:p>
        </w:tc>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SB Bà Triệu (Hai Bà Trưng)</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350,000,000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360,000,000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102.8%</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+10,000,000</w:t>
            </w:r>
          </w:p>
        </w:tc>
        <w:tc>
          <w:tcPr>
            <w:tcW w:type="dxa" w:w="1584"/>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Vượt chỉ tiêu</w:t>
            </w:r>
          </w:p>
        </w:tc>
      </w:tr>
      <w:tr>
        <w:tc>
          <w:tcPr>
            <w:tcW w:type="dxa" w:w="115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Cấp 2</w:t>
            </w:r>
          </w:p>
        </w:tc>
        <w:tc>
          <w:tcPr>
            <w:tcW w:type="dxa" w:w="2592"/>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SB Duy Tân (Cầu Giấy)</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250,000,000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150,000,000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60.0%</w:t>
            </w:r>
          </w:p>
        </w:tc>
        <w:tc>
          <w:tcPr>
            <w:tcW w:type="dxa" w:w="1584"/>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-100,000,000</w:t>
            </w:r>
          </w:p>
        </w:tc>
        <w:tc>
          <w:tcPr>
            <w:tcW w:type="dxa" w:w="1584"/>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Kém hiệu quả (-40%)</w:t>
            </w:r>
          </w:p>
        </w:tc>
      </w:tr>
    </w:tbl>
    <w:p>
      <w:pPr>
        <w:spacing w:line="276" w:lineRule="auto" w:after="120"/>
      </w:pPr>
      <w:r>
        <w:rPr>
          <w:rFonts w:ascii="Calibri" w:hAnsi="Calibri"/>
          <w:b w:val="0"/>
          <w:i w:val="0"/>
          <w:color w:val="000000"/>
          <w:sz w:val="26"/>
        </w:rPr>
      </w:r>
    </w:p>
    <w:p>
      <w:pPr>
        <w:spacing w:line="276" w:lineRule="auto" w:after="120"/>
      </w:pPr>
      <w:r>
        <w:rPr>
          <w:rFonts w:ascii="Calibri" w:hAnsi="Calibri"/>
          <w:b/>
          <w:i w:val="0"/>
          <w:color w:val="000000"/>
          <w:sz w:val="26"/>
        </w:rPr>
        <w:t xml:space="preserve">Nhận định Drill-down: </w:t>
      </w:r>
      <w:r>
        <w:rPr>
          <w:rFonts w:ascii="Calibri" w:hAnsi="Calibri"/>
          <w:b w:val="0"/>
          <w:i w:val="0"/>
          <w:color w:val="000000"/>
          <w:sz w:val="26"/>
        </w:rPr>
        <w:t xml:space="preserve">Hai cửa hàng trung tâm (SB Nhà Thờ, SB Bà Triệu) đều hoàn thành vượt kế hoạch (+20 triệu VNĐ). Khoản hụt 80 triệu VNĐ của miền Bắc bắt nguồn từ </w:t>
      </w:r>
      <w:r>
        <w:rPr>
          <w:rFonts w:ascii="Calibri" w:hAnsi="Calibri"/>
          <w:b/>
          <w:i w:val="0"/>
          <w:color w:val="000000"/>
          <w:sz w:val="26"/>
        </w:rPr>
        <w:t>SB Duy Tân</w:t>
      </w:r>
      <w:r>
        <w:rPr>
          <w:rFonts w:ascii="Calibri" w:hAnsi="Calibri"/>
          <w:b w:val="0"/>
          <w:i w:val="0"/>
          <w:color w:val="000000"/>
          <w:sz w:val="26"/>
        </w:rPr>
        <w:t xml:space="preserve">. Cửa hàng này thiếu hụt tuyệt đối </w:t>
      </w:r>
      <w:r>
        <w:rPr>
          <w:rFonts w:ascii="Calibri" w:hAnsi="Calibri"/>
          <w:b/>
          <w:i w:val="0"/>
          <w:color w:val="000000"/>
          <w:sz w:val="26"/>
        </w:rPr>
        <w:t>100,000,000 VNĐ</w:t>
      </w:r>
      <w:r>
        <w:rPr>
          <w:rFonts w:ascii="Calibri" w:hAnsi="Calibri"/>
          <w:b w:val="0"/>
          <w:i w:val="0"/>
          <w:color w:val="000000"/>
          <w:sz w:val="26"/>
        </w:rPr>
        <w:t xml:space="preserve"> (đạt 60% KPI). Nếu SB Duy Tân đạt kế hoạch, toàn vùng đã đạt 102% chỉ tiêu.</w:t>
      </w:r>
    </w:p>
    <w:p>
      <w:pPr>
        <w:keepNext/>
        <w:spacing w:before="280" w:after="120" w:line="276" w:lineRule="auto"/>
      </w:pPr>
      <w:r>
        <w:rPr>
          <w:rFonts w:ascii="Calibri" w:hAnsi="Calibri"/>
          <w:b/>
          <w:i w:val="0"/>
          <w:color w:val="000000"/>
          <w:sz w:val="26"/>
        </w:rPr>
        <w:t>Phần 2: Luận điểm phân tích đặc thù khách hàng văn phòng tại SB Duy Tân</w:t>
      </w:r>
    </w:p>
    <w:p>
      <w:pPr>
        <w:spacing w:line="276" w:lineRule="auto" w:after="120"/>
      </w:pPr>
      <w:r>
        <w:rPr>
          <w:rFonts w:ascii="Calibri" w:hAnsi="Calibri"/>
          <w:b w:val="0"/>
          <w:i w:val="0"/>
          <w:color w:val="000000"/>
          <w:sz w:val="26"/>
        </w:rPr>
        <w:t>Tiếp tục Drill-down sâu vào SB Duy Tân theo chiều Thời gian và Sản phẩm:</w:t>
      </w:r>
    </w:p>
    <w:p>
      <w:pPr>
        <w:keepNext/>
        <w:spacing w:before="220" w:after="80" w:line="276" w:lineRule="auto"/>
      </w:pPr>
      <w:r>
        <w:rPr>
          <w:rFonts w:ascii="Calibri" w:hAnsi="Calibri"/>
          <w:b/>
          <w:i w:val="0"/>
          <w:color w:val="000000"/>
          <w:sz w:val="26"/>
        </w:rPr>
        <w:t>1. Phân tích theo chiều Thời gian (Time Dimension)</w:t>
      </w:r>
    </w:p>
    <w:p>
      <w:pPr>
        <w:spacing w:line="276" w:lineRule="auto" w:after="120"/>
      </w:pPr>
      <w:r>
        <w:rPr>
          <w:rFonts w:ascii="Calibri" w:hAnsi="Calibri"/>
          <w:b w:val="0"/>
          <w:i w:val="0"/>
          <w:color w:val="000000"/>
          <w:sz w:val="26"/>
        </w:rPr>
        <w:t>Phố Duy Tân là trung tâm công nghệ lớn, tập trung dày đặc văn phòng. Doanh số sụt giảm sâu 70% vào buổi chiều và cuối tuần do:</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Chu kỳ sinh hoạt của dân công sở: </w:t>
      </w:r>
      <w:r>
        <w:rPr>
          <w:rFonts w:ascii="Calibri" w:hAnsi="Calibri"/>
          <w:b w:val="0"/>
          <w:i w:val="0"/>
          <w:color w:val="000000"/>
          <w:sz w:val="26"/>
        </w:rPr>
        <w:t>Doanh thu tập trung 80% vào khung giờ 07:30 – 09:30 sáng. Buổi chiều sau 15:00, khách hạn chế dùng caffeine để tránh mất ngủ và bận họp cuối ngày.</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Khu vực vắng vẻ cuối tuần: </w:t>
      </w:r>
      <w:r>
        <w:rPr>
          <w:rFonts w:ascii="Calibri" w:hAnsi="Calibri"/>
          <w:b w:val="0"/>
          <w:i w:val="0"/>
          <w:color w:val="000000"/>
          <w:sz w:val="26"/>
        </w:rPr>
        <w:t>Thứ Bảy và Chủ nhật, các công ty công nghệ nghỉ làm việc. Cư dân sinh sống tại khu vực này rất ít, khiến lượng khách giảm 75% so với ngày thường. Khác với SB Nhà Thờ hút khách du lịch cuối tuần, SB Duy Tân mất hẳn tệp khách mục tiêu vào ngày nghỉ.</w:t>
      </w:r>
    </w:p>
    <w:p>
      <w:pPr>
        <w:keepNext/>
        <w:spacing w:before="220" w:after="80" w:line="276" w:lineRule="auto"/>
      </w:pPr>
      <w:r>
        <w:rPr>
          <w:rFonts w:ascii="Calibri" w:hAnsi="Calibri"/>
          <w:b/>
          <w:i w:val="0"/>
          <w:color w:val="000000"/>
          <w:sz w:val="26"/>
        </w:rPr>
        <w:t>2. Phân tích theo chiều Sản phẩm (Product Dimension)</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Cơ cấu sản phẩm giá thấp: </w:t>
      </w:r>
      <w:r>
        <w:rPr>
          <w:rFonts w:ascii="Calibri" w:hAnsi="Calibri"/>
          <w:b w:val="0"/>
          <w:i w:val="0"/>
          <w:color w:val="000000"/>
          <w:sz w:val="26"/>
        </w:rPr>
        <w:t>Khách chuộng cà phê cơ bản giá vừa phải (Americano, Latte) để tỉnh táo làm việc. Các dòng Frappuccino giá cao hay trà Teavana có biên lợi nhuận tốt lại tiêu thụ chậm.</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Hàng lưu niệm khó bán: </w:t>
      </w:r>
      <w:r>
        <w:rPr>
          <w:rFonts w:ascii="Calibri" w:hAnsi="Calibri"/>
          <w:b w:val="0"/>
          <w:i w:val="0"/>
          <w:color w:val="000000"/>
          <w:sz w:val="26"/>
        </w:rPr>
        <w:t>Khách công sở không có nhu cầu mua ly, bình giữ nhiệt tại chỗ làm, làm mất nguồn thu bổ sung giá trị giỏ hàng.</w:t>
      </w:r>
    </w:p>
    <w:p>
      <w:pPr>
        <w:keepNext/>
        <w:spacing w:before="280" w:after="120" w:line="276" w:lineRule="auto"/>
      </w:pPr>
      <w:r>
        <w:rPr>
          <w:rFonts w:ascii="Calibri" w:hAnsi="Calibri"/>
          <w:b/>
          <w:i w:val="0"/>
          <w:color w:val="000000"/>
          <w:sz w:val="26"/>
        </w:rPr>
        <w:t>Phần 3: Nhận định tổng hợp Roll-up và khuyến nghị điều chỉnh kế hoạch kinh doanh</w:t>
      </w:r>
    </w:p>
    <w:p>
      <w:pPr>
        <w:spacing w:line="276" w:lineRule="auto" w:after="120"/>
      </w:pPr>
      <w:r>
        <w:rPr>
          <w:rFonts w:ascii="Calibri" w:hAnsi="Calibri"/>
          <w:b w:val="0"/>
          <w:i w:val="0"/>
          <w:color w:val="000000"/>
          <w:sz w:val="26"/>
        </w:rPr>
        <w:t>Thao tác tổng hợp dữ liệu (Roll-up) từ cấp cửa hàng lên cấp vùng mang lại bài học quản trị:</w:t>
      </w:r>
    </w:p>
    <w:p>
      <w:pPr>
        <w:keepNext/>
        <w:spacing w:before="220" w:after="80" w:line="276" w:lineRule="auto"/>
      </w:pPr>
      <w:r>
        <w:rPr>
          <w:rFonts w:ascii="Calibri" w:hAnsi="Calibri"/>
          <w:b/>
          <w:i w:val="0"/>
          <w:color w:val="000000"/>
          <w:sz w:val="26"/>
        </w:rPr>
        <w:t>1. Bài học kinh nghiệm từ góc nhìn Roll-up</w:t>
      </w:r>
    </w:p>
    <w:p>
      <w:pPr>
        <w:spacing w:line="276" w:lineRule="auto" w:after="120"/>
      </w:pPr>
      <w:r>
        <w:rPr>
          <w:rFonts w:ascii="Calibri" w:hAnsi="Calibri"/>
          <w:b w:val="0"/>
          <w:i w:val="0"/>
          <w:color w:val="000000"/>
          <w:sz w:val="26"/>
        </w:rPr>
        <w:t xml:space="preserve">Sự thiếu hụt chỉ tiêu của miền Bắc không phản ánh sức mua chung suy giảm, mà bộc lộ </w:t>
      </w:r>
      <w:r>
        <w:rPr>
          <w:rFonts w:ascii="Calibri" w:hAnsi="Calibri"/>
          <w:b/>
          <w:i w:val="0"/>
          <w:color w:val="000000"/>
          <w:sz w:val="26"/>
        </w:rPr>
        <w:t>lỗi phân bổ chỉ tiêu KPI (Target Allocation Bias)</w:t>
      </w:r>
      <w:r>
        <w:rPr>
          <w:rFonts w:ascii="Calibri" w:hAnsi="Calibri"/>
          <w:b w:val="0"/>
          <w:i w:val="0"/>
          <w:color w:val="000000"/>
          <w:sz w:val="26"/>
        </w:rPr>
        <w:t>. Ban Điều hành đã áp dụng cùng một công thức tăng trưởng cơ học cho các mặt bằng có tính chất vận hành hoàn toàn khác biệt.</w:t>
      </w:r>
    </w:p>
    <w:p>
      <w:pPr>
        <w:keepNext/>
        <w:spacing w:before="220" w:after="80" w:line="276" w:lineRule="auto"/>
      </w:pPr>
      <w:r>
        <w:rPr>
          <w:rFonts w:ascii="Calibri" w:hAnsi="Calibri"/>
          <w:b/>
          <w:i w:val="0"/>
          <w:color w:val="000000"/>
          <w:sz w:val="26"/>
        </w:rPr>
        <w:t>2. Khuyến nghị điều chỉnh kế hoạch kinh doanh</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Tái phân bổ KPI theo phân loại mặt bằng: </w:t>
      </w:r>
      <w:r>
        <w:rPr>
          <w:rFonts w:ascii="Calibri" w:hAnsi="Calibri"/>
          <w:b w:val="0"/>
          <w:i w:val="0"/>
          <w:color w:val="000000"/>
          <w:sz w:val="26"/>
        </w:rPr>
        <w:t>Tách biệt nhóm cửa hàng Văn phòng (Office Hub) và Du lịch (High Street). Giảm chỉ tiêu doanh số cuối tuần tại SB Duy Tân xuống 15-20% tổng tuần, tăng chỉ tiêu ngày thường lên 80-85%.</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Kích cầu giờ thấp điểm: </w:t>
      </w:r>
      <w:r>
        <w:rPr>
          <w:rFonts w:ascii="Calibri" w:hAnsi="Calibri"/>
          <w:b w:val="0"/>
          <w:i w:val="0"/>
          <w:color w:val="000000"/>
          <w:sz w:val="26"/>
        </w:rPr>
        <w:t>Phát triển combo Afternoon Tea / Snack Box cho cuộc họp nội bộ; triển khai chính sách đặt hàng B2B giao số lượng lớn cho doanh nghiệp lân cận.</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Tối ưu chi phí vận hành: </w:t>
      </w:r>
      <w:r>
        <w:rPr>
          <w:rFonts w:ascii="Calibri" w:hAnsi="Calibri"/>
          <w:b w:val="0"/>
          <w:i w:val="0"/>
          <w:color w:val="000000"/>
          <w:sz w:val="26"/>
        </w:rPr>
        <w:t>Rút gọn ca trực cuối tuần tại SB Duy Tân còn 1-2 nhân sự, mở cửa muộn hơn hoặc đóng cửa Chủ nhật để bảo toàn biên lợi nhuận.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