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Calibri" w:hAnsi="Calibri"/>
          <w:b/>
          <w:color w:val="000000"/>
          <w:sz w:val="26"/>
        </w:rPr>
        <w:t>BÁO CÁO PHÂN TÍCH THỰC HÀNH</w:t>
      </w:r>
    </w:p>
    <w:p>
      <w:pPr>
        <w:spacing w:before="0" w:after="240" w:line="276" w:lineRule="auto"/>
        <w:jc w:val="center"/>
      </w:pPr>
      <w:r>
        <w:rPr>
          <w:rFonts w:ascii="Calibri" w:hAnsi="Calibri"/>
          <w:b/>
          <w:color w:val="000000"/>
          <w:sz w:val="26"/>
        </w:rPr>
        <w:t>BI301: TỪ VẤN ĐỀ KINH DOANH ĐẾN HỆ THỐNG CHỈ SỐ (CASE STUDY: SPOTIFY)</w:t>
      </w:r>
    </w:p>
    <w:p>
      <w:pPr>
        <w:keepNext/>
        <w:spacing w:before="240" w:after="80" w:line="276" w:lineRule="auto"/>
      </w:pPr>
      <w:r>
        <w:rPr>
          <w:rFonts w:ascii="Calibri" w:hAnsi="Calibri"/>
          <w:b/>
          <w:color w:val="000000"/>
          <w:sz w:val="26"/>
        </w:rPr>
        <w:t>1. TÌNH HUỐNG KINH DOANH VÀ VẤN ĐỀ CỐT LÕI</w:t>
      </w:r>
    </w:p>
    <w:p>
      <w:pPr>
        <w:spacing w:line="276" w:lineRule="auto" w:after="120"/>
      </w:pPr>
      <w:r>
        <w:rPr>
          <w:color w:val="000000"/>
          <w:sz w:val="26"/>
        </w:rPr>
        <w:t>Spotify vận hành mô hình kinh doanh kết hợp (Freemium) với 2 nguồn thu chính: phí đăng ký thuê bao Premium và doanh thu quảng cáo hiển thị tới nhóm người dùng miễn phí (Free Users). Gần đây, hệ thống ghi nhận một nghịch lý vận hành nghiêm trọng giữa Tháng 9 và Tháng 10:</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1872"/>
        <w:gridCol w:w="1872"/>
        <w:gridCol w:w="1872"/>
        <w:gridCol w:w="1872"/>
        <w:gridCol w:w="1872"/>
      </w:tblGrid>
      <w:tr>
        <w:tc>
          <w:tcPr>
            <w:tcW w:type="dxa" w:w="1872"/>
            <w:vAlign w:val="center"/>
            <w:shd w:fill="FFFFFF"/>
            <w:tcMar>
              <w:top w:w="100" w:type="dxa"/>
              <w:bottom w:w="100" w:type="dxa"/>
              <w:left w:w="100" w:type="dxa"/>
              <w:right w:w="100" w:type="dxa"/>
            </w:tcMar>
          </w:tcPr>
          <w:p>
            <w:pPr>
              <w:spacing w:before="40" w:after="40" w:line="276" w:lineRule="auto"/>
              <w:jc w:val="center"/>
            </w:pPr>
            <w:r>
              <w:rPr>
                <w:rFonts w:ascii="Calibri" w:hAnsi="Calibri"/>
                <w:b/>
                <w:color w:val="000000"/>
                <w:sz w:val="26"/>
              </w:rPr>
              <w:t>Tháng</w:t>
            </w:r>
          </w:p>
        </w:tc>
        <w:tc>
          <w:tcPr>
            <w:tcW w:type="dxa" w:w="1872"/>
            <w:vAlign w:val="center"/>
            <w:shd w:fill="FFFFFF"/>
            <w:tcMar>
              <w:top w:w="100" w:type="dxa"/>
              <w:bottom w:w="100" w:type="dxa"/>
              <w:left w:w="100" w:type="dxa"/>
              <w:right w:w="100" w:type="dxa"/>
            </w:tcMar>
          </w:tcPr>
          <w:p>
            <w:pPr>
              <w:spacing w:before="40" w:after="40" w:line="276" w:lineRule="auto"/>
              <w:jc w:val="left"/>
            </w:pPr>
            <w:r>
              <w:rPr>
                <w:rFonts w:ascii="Calibri" w:hAnsi="Calibri"/>
                <w:b/>
                <w:color w:val="000000"/>
                <w:sz w:val="26"/>
              </w:rPr>
              <w:t>Số User Miễn Phí</w:t>
            </w:r>
          </w:p>
        </w:tc>
        <w:tc>
          <w:tcPr>
            <w:tcW w:type="dxa" w:w="1872"/>
            <w:vAlign w:val="center"/>
            <w:shd w:fill="FFFFFF"/>
            <w:tcMar>
              <w:top w:w="100" w:type="dxa"/>
              <w:bottom w:w="100" w:type="dxa"/>
              <w:left w:w="100" w:type="dxa"/>
              <w:right w:w="100" w:type="dxa"/>
            </w:tcMar>
          </w:tcPr>
          <w:p>
            <w:pPr>
              <w:spacing w:before="40" w:after="40" w:line="276" w:lineRule="auto"/>
              <w:jc w:val="left"/>
            </w:pPr>
            <w:r>
              <w:rPr>
                <w:rFonts w:ascii="Calibri" w:hAnsi="Calibri"/>
                <w:b/>
                <w:color w:val="000000"/>
                <w:sz w:val="26"/>
              </w:rPr>
              <w:t>Giờ Nghe TB / User</w:t>
            </w:r>
          </w:p>
        </w:tc>
        <w:tc>
          <w:tcPr>
            <w:tcW w:type="dxa" w:w="1872"/>
            <w:vAlign w:val="center"/>
            <w:shd w:fill="FFFFFF"/>
            <w:tcMar>
              <w:top w:w="100" w:type="dxa"/>
              <w:bottom w:w="100" w:type="dxa"/>
              <w:left w:w="100" w:type="dxa"/>
              <w:right w:w="100" w:type="dxa"/>
            </w:tcMar>
          </w:tcPr>
          <w:p>
            <w:pPr>
              <w:spacing w:before="40" w:after="40" w:line="276" w:lineRule="auto"/>
              <w:jc w:val="left"/>
            </w:pPr>
            <w:r>
              <w:rPr>
                <w:rFonts w:ascii="Calibri" w:hAnsi="Calibri"/>
                <w:b/>
                <w:color w:val="000000"/>
                <w:sz w:val="26"/>
              </w:rPr>
              <w:t>Lượt Bỏ Qua QC (Skip Rate)</w:t>
            </w:r>
          </w:p>
        </w:tc>
        <w:tc>
          <w:tcPr>
            <w:tcW w:type="dxa" w:w="1872"/>
            <w:vAlign w:val="center"/>
            <w:shd w:fill="FFFFFF"/>
            <w:tcMar>
              <w:top w:w="100" w:type="dxa"/>
              <w:bottom w:w="100" w:type="dxa"/>
              <w:left w:w="100" w:type="dxa"/>
              <w:right w:w="100" w:type="dxa"/>
            </w:tcMar>
          </w:tcPr>
          <w:p>
            <w:pPr>
              <w:spacing w:before="40" w:after="40" w:line="276" w:lineRule="auto"/>
              <w:jc w:val="left"/>
            </w:pPr>
            <w:r>
              <w:rPr>
                <w:rFonts w:ascii="Calibri" w:hAnsi="Calibri"/>
                <w:b/>
                <w:color w:val="000000"/>
                <w:sz w:val="26"/>
              </w:rPr>
              <w:t>Doanh Thu Quảng Cáo</w:t>
            </w:r>
          </w:p>
        </w:tc>
      </w:tr>
      <w:tr>
        <w:tc>
          <w:tcPr>
            <w:tcW w:type="dxa" w:w="1872"/>
            <w:vAlign w:val="center"/>
            <w:shd w:fill="FFFFFF"/>
            <w:tcMar>
              <w:top w:w="100" w:type="dxa"/>
              <w:bottom w:w="100" w:type="dxa"/>
              <w:left w:w="100" w:type="dxa"/>
              <w:right w:w="100" w:type="dxa"/>
            </w:tcMar>
          </w:tcPr>
          <w:p>
            <w:pPr>
              <w:spacing w:before="40" w:after="40" w:line="276" w:lineRule="auto"/>
              <w:jc w:val="center"/>
            </w:pPr>
            <w:r>
              <w:rPr>
                <w:rFonts w:ascii="Calibri" w:hAnsi="Calibri"/>
                <w:color w:val="000000"/>
                <w:sz w:val="26"/>
              </w:rPr>
              <w:t>Tháng 9 (T9)</w:t>
            </w:r>
          </w:p>
        </w:tc>
        <w:tc>
          <w:tcPr>
            <w:tcW w:type="dxa" w:w="1872"/>
            <w:vAlign w:val="center"/>
            <w:shd w:fill="FFFFFF"/>
            <w:tcMar>
              <w:top w:w="100" w:type="dxa"/>
              <w:bottom w:w="100" w:type="dxa"/>
              <w:left w:w="100" w:type="dxa"/>
              <w:right w:w="100" w:type="dxa"/>
            </w:tcMar>
          </w:tcPr>
          <w:p>
            <w:pPr>
              <w:spacing w:before="40" w:after="40" w:line="276" w:lineRule="auto"/>
              <w:jc w:val="left"/>
            </w:pPr>
            <w:r>
              <w:rPr>
                <w:rFonts w:ascii="Calibri" w:hAnsi="Calibri"/>
                <w:color w:val="000000"/>
                <w:sz w:val="26"/>
              </w:rPr>
              <w:t>10,0 triệu user</w:t>
            </w:r>
          </w:p>
        </w:tc>
        <w:tc>
          <w:tcPr>
            <w:tcW w:type="dxa" w:w="1872"/>
            <w:vAlign w:val="center"/>
            <w:shd w:fill="FFFFFF"/>
            <w:tcMar>
              <w:top w:w="100" w:type="dxa"/>
              <w:bottom w:w="100" w:type="dxa"/>
              <w:left w:w="100" w:type="dxa"/>
              <w:right w:w="100" w:type="dxa"/>
            </w:tcMar>
          </w:tcPr>
          <w:p>
            <w:pPr>
              <w:spacing w:before="40" w:after="40" w:line="276" w:lineRule="auto"/>
              <w:jc w:val="left"/>
            </w:pPr>
            <w:r>
              <w:rPr>
                <w:rFonts w:ascii="Calibri" w:hAnsi="Calibri"/>
                <w:color w:val="000000"/>
                <w:sz w:val="26"/>
              </w:rPr>
              <w:t>45 giờ</w:t>
            </w:r>
          </w:p>
        </w:tc>
        <w:tc>
          <w:tcPr>
            <w:tcW w:type="dxa" w:w="1872"/>
            <w:vAlign w:val="center"/>
            <w:shd w:fill="FFFFFF"/>
            <w:tcMar>
              <w:top w:w="100" w:type="dxa"/>
              <w:bottom w:w="100" w:type="dxa"/>
              <w:left w:w="100" w:type="dxa"/>
              <w:right w:w="100" w:type="dxa"/>
            </w:tcMar>
          </w:tcPr>
          <w:p>
            <w:pPr>
              <w:spacing w:before="40" w:after="40" w:line="276" w:lineRule="auto"/>
              <w:jc w:val="left"/>
            </w:pPr>
            <w:r>
              <w:rPr>
                <w:rFonts w:ascii="Calibri" w:hAnsi="Calibri"/>
                <w:color w:val="000000"/>
                <w:sz w:val="26"/>
              </w:rPr>
              <w:t>80%</w:t>
            </w:r>
          </w:p>
        </w:tc>
        <w:tc>
          <w:tcPr>
            <w:tcW w:type="dxa" w:w="1872"/>
            <w:vAlign w:val="center"/>
            <w:shd w:fill="FFFFFF"/>
            <w:tcMar>
              <w:top w:w="100" w:type="dxa"/>
              <w:bottom w:w="100" w:type="dxa"/>
              <w:left w:w="100" w:type="dxa"/>
              <w:right w:w="100" w:type="dxa"/>
            </w:tcMar>
          </w:tcPr>
          <w:p>
            <w:pPr>
              <w:spacing w:before="40" w:after="40" w:line="276" w:lineRule="auto"/>
              <w:jc w:val="left"/>
            </w:pPr>
            <w:r>
              <w:rPr>
                <w:rFonts w:ascii="Calibri" w:hAnsi="Calibri"/>
                <w:color w:val="000000"/>
                <w:sz w:val="26"/>
              </w:rPr>
              <w:t>5,0 triệu USD ($5.0M)</w:t>
            </w:r>
          </w:p>
        </w:tc>
      </w:tr>
      <w:tr>
        <w:tc>
          <w:tcPr>
            <w:tcW w:type="dxa" w:w="1872"/>
            <w:vAlign w:val="center"/>
            <w:shd w:fill="FFFFFF"/>
            <w:tcMar>
              <w:top w:w="100" w:type="dxa"/>
              <w:bottom w:w="100" w:type="dxa"/>
              <w:left w:w="100" w:type="dxa"/>
              <w:right w:w="100" w:type="dxa"/>
            </w:tcMar>
          </w:tcPr>
          <w:p>
            <w:pPr>
              <w:spacing w:before="40" w:after="40" w:line="276" w:lineRule="auto"/>
              <w:jc w:val="center"/>
            </w:pPr>
            <w:r>
              <w:rPr>
                <w:rFonts w:ascii="Calibri" w:hAnsi="Calibri"/>
                <w:color w:val="000000"/>
                <w:sz w:val="26"/>
              </w:rPr>
              <w:t>Tháng 10 (T10)</w:t>
            </w:r>
          </w:p>
        </w:tc>
        <w:tc>
          <w:tcPr>
            <w:tcW w:type="dxa" w:w="1872"/>
            <w:vAlign w:val="center"/>
            <w:shd w:fill="FFFFFF"/>
            <w:tcMar>
              <w:top w:w="100" w:type="dxa"/>
              <w:bottom w:w="100" w:type="dxa"/>
              <w:left w:w="100" w:type="dxa"/>
              <w:right w:w="100" w:type="dxa"/>
            </w:tcMar>
          </w:tcPr>
          <w:p>
            <w:pPr>
              <w:spacing w:before="40" w:after="40" w:line="276" w:lineRule="auto"/>
              <w:jc w:val="left"/>
            </w:pPr>
            <w:r>
              <w:rPr>
                <w:rFonts w:ascii="Calibri" w:hAnsi="Calibri"/>
                <w:color w:val="000000"/>
                <w:sz w:val="26"/>
              </w:rPr>
              <w:t>11,0 triệu user (+10%)</w:t>
            </w:r>
          </w:p>
        </w:tc>
        <w:tc>
          <w:tcPr>
            <w:tcW w:type="dxa" w:w="1872"/>
            <w:vAlign w:val="center"/>
            <w:shd w:fill="FFFFFF"/>
            <w:tcMar>
              <w:top w:w="100" w:type="dxa"/>
              <w:bottom w:w="100" w:type="dxa"/>
              <w:left w:w="100" w:type="dxa"/>
              <w:right w:w="100" w:type="dxa"/>
            </w:tcMar>
          </w:tcPr>
          <w:p>
            <w:pPr>
              <w:spacing w:before="40" w:after="40" w:line="276" w:lineRule="auto"/>
              <w:jc w:val="left"/>
            </w:pPr>
            <w:r>
              <w:rPr>
                <w:rFonts w:ascii="Calibri" w:hAnsi="Calibri"/>
                <w:color w:val="000000"/>
                <w:sz w:val="26"/>
              </w:rPr>
              <w:t>30 giờ (-33.3%)</w:t>
            </w:r>
          </w:p>
        </w:tc>
        <w:tc>
          <w:tcPr>
            <w:tcW w:type="dxa" w:w="1872"/>
            <w:vAlign w:val="center"/>
            <w:shd w:fill="FFFFFF"/>
            <w:tcMar>
              <w:top w:w="100" w:type="dxa"/>
              <w:bottom w:w="100" w:type="dxa"/>
              <w:left w:w="100" w:type="dxa"/>
              <w:right w:w="100" w:type="dxa"/>
            </w:tcMar>
          </w:tcPr>
          <w:p>
            <w:pPr>
              <w:spacing w:before="40" w:after="40" w:line="276" w:lineRule="auto"/>
              <w:jc w:val="left"/>
            </w:pPr>
            <w:r>
              <w:rPr>
                <w:rFonts w:ascii="Calibri" w:hAnsi="Calibri"/>
                <w:b/>
                <w:color w:val="000000"/>
                <w:sz w:val="26"/>
              </w:rPr>
              <w:t>95% (+15%)</w:t>
            </w:r>
          </w:p>
        </w:tc>
        <w:tc>
          <w:tcPr>
            <w:tcW w:type="dxa" w:w="1872"/>
            <w:vAlign w:val="center"/>
            <w:shd w:fill="FFFFFF"/>
            <w:tcMar>
              <w:top w:w="100" w:type="dxa"/>
              <w:bottom w:w="100" w:type="dxa"/>
              <w:left w:w="100" w:type="dxa"/>
              <w:right w:w="100" w:type="dxa"/>
            </w:tcMar>
          </w:tcPr>
          <w:p>
            <w:pPr>
              <w:spacing w:before="40" w:after="40" w:line="276" w:lineRule="auto"/>
              <w:jc w:val="left"/>
            </w:pPr>
            <w:r>
              <w:rPr>
                <w:rFonts w:ascii="Calibri" w:hAnsi="Calibri"/>
                <w:b/>
                <w:color w:val="000000"/>
                <w:sz w:val="26"/>
              </w:rPr>
              <w:t>3,0 triệu USD (-40%)</w:t>
            </w:r>
          </w:p>
        </w:tc>
      </w:tr>
    </w:tbl>
    <w:p>
      <w:pPr>
        <w:spacing w:line="276" w:lineRule="auto" w:before="160" w:after="120"/>
      </w:pPr>
      <w:r>
        <w:rPr>
          <w:b/>
          <w:color w:val="000000"/>
          <w:sz w:val="26"/>
        </w:rPr>
        <w:t xml:space="preserve">Nhận định bài toán: </w:t>
      </w:r>
      <w:r>
        <w:rPr>
          <w:color w:val="000000"/>
          <w:sz w:val="26"/>
        </w:rPr>
        <w:t>Quy mô người dùng miễn phí tăng thêm 1 triệu người (+10%), nhưng doanh thu quảng cáo lại sụt giảm tới 40% (mất 2 triệu USD). Điều này cho thấy mô hình kiếm tiền từ quảng cáo đang gặp trục trặc lớn ở khâu giữ chân người nghe và hiệu quả hiển thị quảng cáo.</w:t>
      </w:r>
    </w:p>
    <w:p>
      <w:pPr>
        <w:keepNext/>
        <w:spacing w:before="240" w:after="80" w:line="276" w:lineRule="auto"/>
      </w:pPr>
      <w:r>
        <w:rPr>
          <w:rFonts w:ascii="Calibri" w:hAnsi="Calibri"/>
          <w:b/>
          <w:color w:val="000000"/>
          <w:sz w:val="26"/>
        </w:rPr>
        <w:t>2. BỐC TÁCH VÀ GIẢI QUYẾT BÀI TOÁN THEO 4 BƯỚC</w:t>
      </w:r>
    </w:p>
    <w:p>
      <w:pPr>
        <w:keepNext/>
        <w:spacing w:before="240" w:after="80" w:line="276" w:lineRule="auto"/>
      </w:pPr>
      <w:r>
        <w:rPr>
          <w:rFonts w:ascii="Calibri" w:hAnsi="Calibri"/>
          <w:b/>
          <w:color w:val="000000"/>
          <w:sz w:val="26"/>
        </w:rPr>
        <w:t>BƯỚC 1: TÍNH TOÁN VÀ ĐỊNH VỊ CHỈ SỐ</w:t>
      </w:r>
    </w:p>
    <w:p>
      <w:pPr>
        <w:spacing w:line="276" w:lineRule="auto" w:after="80"/>
      </w:pPr>
      <w:r>
        <w:rPr>
          <w:b/>
          <w:color w:val="000000"/>
          <w:sz w:val="26"/>
        </w:rPr>
        <w:t>1.1. Phân biệt rõ Measure (Thước đo thô) và Metric (Chỉ số đo lường):</w:t>
      </w:r>
    </w:p>
    <w:p>
      <w:pPr>
        <w:spacing w:line="276" w:lineRule="auto" w:after="60"/>
        <w:ind w:left="288"/>
      </w:pPr>
      <w:r>
        <w:rPr>
          <w:b/>
          <w:color w:val="000000"/>
          <w:sz w:val="26"/>
        </w:rPr>
        <w:t xml:space="preserve">• Measure (Thước đo thô): </w:t>
      </w:r>
      <w:r>
        <w:rPr>
          <w:color w:val="000000"/>
          <w:sz w:val="26"/>
        </w:rPr>
        <w:t>Là số đếm tuyệt đối ghi nhận trực tiếp từ hệ thống, chưa qua xử lý chia tỷ lệ hay ghép ngữ cảnh so sánh. Trong tập dữ liệu gồm:</w:t>
        <w:br/>
        <w:t xml:space="preserve">  - Số User Miễn Phí (10 triệu ở T9; 11 triệu ở T10): Số lượng tài khoản đăng nhập.</w:t>
        <w:br/>
        <w:t xml:space="preserve">  - Doanh Thu Quảng Cáo (5,0 triệu $ ở T9; 3,0 triệu $ ở T10): Số tiền thực tế ghi nhận vào sổ sách.</w:t>
      </w:r>
    </w:p>
    <w:p>
      <w:pPr>
        <w:spacing w:line="276" w:lineRule="auto" w:after="120"/>
        <w:ind w:left="288"/>
      </w:pPr>
      <w:r>
        <w:rPr>
          <w:b/>
          <w:color w:val="000000"/>
          <w:sz w:val="26"/>
        </w:rPr>
        <w:t xml:space="preserve">• Metric (Chỉ số đo lường): </w:t>
      </w:r>
      <w:r>
        <w:rPr>
          <w:color w:val="000000"/>
          <w:sz w:val="26"/>
        </w:rPr>
        <w:t>Là giá trị có được khi kết hợp hoặc chia các Measure với nhau để đo lường hiệu suất hoặc phân tích hành vi. Trong tập dữ liệu gồm:</w:t>
        <w:br/>
        <w:t xml:space="preserve">  - Giờ Nghe TB / User (45 giờ ở T9; 30 giờ ở T10): Lấy Tổng giờ nghe chia cho Số lượng user.</w:t>
        <w:br/>
        <w:t xml:space="preserve">  - Lượt Bỏ Qua Quảng Cáo (Skip Rate = 80% ở T9; 95% ở T10): Lấy Số lượt bấm skip chia cho Tổng lượt quảng cáo phát.</w:t>
      </w:r>
    </w:p>
    <w:p>
      <w:pPr>
        <w:spacing w:line="276" w:lineRule="auto" w:before="120" w:after="80"/>
      </w:pPr>
      <w:r>
        <w:rPr>
          <w:b/>
          <w:color w:val="000000"/>
          <w:sz w:val="26"/>
        </w:rPr>
        <w:t>1.2. Tính doanh thu quảng cáo trên mỗi giờ nghe của người dùng:</w:t>
      </w:r>
    </w:p>
    <w:p>
      <w:pPr>
        <w:spacing w:line="276" w:lineRule="auto" w:after="80"/>
        <w:ind w:left="288"/>
      </w:pPr>
      <w:r>
        <w:rPr>
          <w:color w:val="000000"/>
          <w:sz w:val="26"/>
        </w:rPr>
        <w:t>Công thức tính:</w:t>
        <w:br/>
      </w:r>
      <w:r>
        <w:rPr>
          <w:b/>
          <w:color w:val="000000"/>
          <w:sz w:val="26"/>
        </w:rPr>
        <w:t>Doanh thu / Giờ nghe = Doanh Thu Quảng Cáo / (Số User × Giờ Nghe TB) = Doanh Thu / Tổng Giờ Nghe</w:t>
      </w:r>
    </w:p>
    <w:p>
      <w:pPr>
        <w:spacing w:line="276" w:lineRule="auto" w:after="60"/>
        <w:ind w:left="288"/>
      </w:pPr>
      <w:r>
        <w:rPr>
          <w:color w:val="000000"/>
          <w:sz w:val="26"/>
        </w:rPr>
        <w:t>• Tháng 9:</w:t>
        <w:br/>
        <w:t xml:space="preserve">  - Tổng thời lượng nghe = 10.000.000 user × 45 giờ = 450.000.000 giờ nghe.</w:t>
        <w:br/>
        <w:t xml:space="preserve">  - Doanh thu / giờ nghe = 5.000.000 $ / 450.000.000 giờ = </w:t>
      </w:r>
      <w:r>
        <w:rPr>
          <w:b/>
          <w:color w:val="000000"/>
          <w:sz w:val="26"/>
        </w:rPr>
        <w:t>0,0111 USD/giờ (khoảng 1,11 xu / giờ nghe).</w:t>
      </w:r>
    </w:p>
    <w:p>
      <w:pPr>
        <w:spacing w:line="276" w:lineRule="auto" w:after="80"/>
        <w:ind w:left="288"/>
      </w:pPr>
      <w:r>
        <w:rPr>
          <w:color w:val="000000"/>
          <w:sz w:val="26"/>
        </w:rPr>
        <w:t>• Tháng 10:</w:t>
        <w:br/>
        <w:t xml:space="preserve">  - Tổng thời lượng nghe = 11.000.000 user × 30 giờ = 330.000.000 giờ nghe.</w:t>
        <w:br/>
        <w:t xml:space="preserve">  - Doanh thu / giờ nghe = 3.000.000 $ / 330.000.000 giờ = </w:t>
      </w:r>
      <w:r>
        <w:rPr>
          <w:b/>
          <w:color w:val="000000"/>
          <w:sz w:val="26"/>
        </w:rPr>
        <w:t>0,0091 USD/giờ (khoảng 0,91 xu / giờ nghe).</w:t>
      </w:r>
    </w:p>
    <w:p>
      <w:pPr>
        <w:spacing w:line="276" w:lineRule="auto" w:after="120"/>
      </w:pPr>
      <w:r>
        <w:rPr>
          <w:b/>
          <w:color w:val="000000"/>
          <w:sz w:val="26"/>
        </w:rPr>
        <w:t xml:space="preserve">Đánh giá: </w:t>
      </w:r>
      <w:r>
        <w:rPr>
          <w:color w:val="000000"/>
          <w:sz w:val="26"/>
        </w:rPr>
        <w:t>Doanh thu tạo ra trên mỗi giờ nghe ở tháng 10 giảm 18,2% so với tháng 9. Điều này chứng minh hiệu suất sinh lời trên mỗi đơn vị thời gian nghe của người dùng đang bị xói mòn.</w:t>
      </w:r>
    </w:p>
    <w:p>
      <w:pPr>
        <w:keepNext/>
        <w:spacing w:before="240" w:after="80" w:line="276" w:lineRule="auto"/>
      </w:pPr>
      <w:r>
        <w:rPr>
          <w:rFonts w:ascii="Calibri" w:hAnsi="Calibri"/>
          <w:b/>
          <w:color w:val="000000"/>
          <w:sz w:val="26"/>
        </w:rPr>
        <w:t>BƯỚC 2: VẼ CÂY CHỈ SỐ (KPI TREE) DOANH THU</w:t>
      </w:r>
    </w:p>
    <w:p>
      <w:pPr>
        <w:spacing w:line="276" w:lineRule="auto" w:after="80"/>
      </w:pPr>
      <w:r>
        <w:rPr>
          <w:color w:val="000000"/>
          <w:sz w:val="26"/>
        </w:rPr>
        <w:t>Cây chỉ số phân rã Doanh thu Quảng cáo thành các mắt xích cấu thành để xác định chính xác điểm gãy của luồng tiền:</w:t>
      </w:r>
    </w:p>
    <w:p>
      <w:pPr>
        <w:spacing w:line="276" w:lineRule="auto" w:after="120"/>
        <w:ind w:left="288"/>
      </w:pPr>
      <w:r>
        <w:rPr>
          <w:rFonts w:ascii="Consolas" w:hAnsi="Consolas"/>
          <w:color w:val="000000"/>
          <w:sz w:val="26"/>
        </w:rPr>
        <w:t>[DOANH THU QUẢNG CÁO]</w:t>
        <w:br/>
        <w:t xml:space="preserve">  |-- Nhánh 1: TỔNG THỜI LƯỢNG NGHE (Co hẹp -26,7%)</w:t>
        <w:br/>
        <w:t xml:space="preserve">  |      |-- Số User Free (10M -&gt; 11M, Tăng +10% [Tốt])</w:t>
        <w:br/>
        <w:t xml:space="preserve">  |      \-- Giờ Nghe TB / User (45h -&gt; 30h, Giảm -33,3% [Cảnh Báo])</w:t>
        <w:br/>
        <w:t xml:space="preserve">  |</w:t>
        <w:br/>
        <w:t xml:space="preserve">  \-- Nhánh 2: DOANH THU TRÊN MỖI GIỜ NGHE (Giảm -18,2%)</w:t>
        <w:br/>
        <w:t xml:space="preserve">         |-- Mật độ quảng cáo phát ra / giờ (Ad Load)</w:t>
        <w:br/>
        <w:t xml:space="preserve">         \-- TỶ LỆ NGHE HẾT QUẢNG CÁO (20% -&gt; 5%, Sụt Giảm -75% [Nguy Hiểm])</w:t>
      </w:r>
    </w:p>
    <w:p>
      <w:pPr>
        <w:spacing w:line="276" w:lineRule="auto" w:after="120"/>
      </w:pPr>
      <w:r>
        <w:rPr>
          <w:b/>
          <w:color w:val="000000"/>
          <w:sz w:val="26"/>
        </w:rPr>
        <w:t>Xác định nhánh chỉ số gặp vấn đề trầm trọng:</w:t>
        <w:br/>
      </w:r>
      <w:r>
        <w:rPr>
          <w:color w:val="000000"/>
          <w:sz w:val="26"/>
        </w:rPr>
        <w:t>1. Nhánh Giờ Nghe TB / User sụt giảm: Giảm mạnh từ 45 giờ xuống 30 giờ (-33,3%). Dù có thêm 1 triệu người dùng mới nhưng họ nghe ít đi, khiến tổng lượng thời gian nghe trên toàn nền tảng co hẹp từ 450 triệu giờ xuống còn 330 triệu giờ.</w:t>
        <w:br/>
        <w:t>2. Nhánh Tỷ Lệ Nghe Hết Quảng Cáo (Completion Rate) sụp đổ: Các nhà quảng cáo chỉ trả tiền khi người dùng nghe trọn vẹn mẫu quảng cáo. Tháng 9 có 20% quảng cáo được nghe hết (100% - 80%). Đến tháng 10, tỷ lệ này chỉ còn vỏn vẹn 5% (100% - 95%). Nghĩa là số lượt hiển thị thu được tiền đã giảm tới 75%! Đây là nguyên nhân trực tiếp làm bốc hơi 2 triệu USD.</w:t>
      </w:r>
    </w:p>
    <w:p>
      <w:pPr>
        <w:keepNext/>
        <w:spacing w:before="240" w:after="80" w:line="276" w:lineRule="auto"/>
      </w:pPr>
      <w:r>
        <w:rPr>
          <w:rFonts w:ascii="Calibri" w:hAnsi="Calibri"/>
          <w:b/>
          <w:color w:val="000000"/>
          <w:sz w:val="26"/>
        </w:rPr>
        <w:t>BƯỚC 3: NHẬN DIỆN LEADING INDICATOR (CHỈ BÁO SỚM)</w:t>
      </w:r>
    </w:p>
    <w:p>
      <w:pPr>
        <w:spacing w:line="276" w:lineRule="auto" w:after="80"/>
      </w:pPr>
      <w:r>
        <w:rPr>
          <w:b/>
          <w:color w:val="000000"/>
          <w:sz w:val="26"/>
        </w:rPr>
        <w:t>3.1. Mối quan hệ giữa Skip Rate và Giờ nghe trung bình:</w:t>
      </w:r>
    </w:p>
    <w:p>
      <w:pPr>
        <w:spacing w:line="276" w:lineRule="auto" w:after="120"/>
      </w:pPr>
      <w:r>
        <w:rPr>
          <w:color w:val="000000"/>
          <w:sz w:val="26"/>
        </w:rPr>
        <w:t>Khi tỷ lệ bỏ qua tăng từ 80% lên 95%, giờ nghe trung bình lập tức giảm từ 45h xuống 30h. Hành vi này thể hiện rõ tâm lý ức chế của người dùng: khi quảng cáo xuất hiện quá dày đặc hoặc nội dung nhàm chán/khó chịu, phản xạ đầu tiên của họ là bấm nút Skip liên tục. Khi việc bấm skip vẫn không cải thiện được trải nghiệm, họ sẽ giảm thời lượng sử dụng hoặc tắt hẳn ứng dụng.</w:t>
      </w:r>
    </w:p>
    <w:p>
      <w:pPr>
        <w:spacing w:line="276" w:lineRule="auto" w:after="80"/>
      </w:pPr>
      <w:r>
        <w:rPr>
          <w:b/>
          <w:color w:val="000000"/>
          <w:sz w:val="26"/>
        </w:rPr>
        <w:t>3.2. Vì sao "Lượt bỏ qua quảng cáo (Skip Rate)" là Leading Indicator báo hiệu doanh thu giảm?</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3120"/>
        <w:gridCol w:w="3120"/>
        <w:gridCol w:w="3120"/>
      </w:tblGrid>
      <w:tr>
        <w:tc>
          <w:tcPr>
            <w:tcW w:type="dxa" w:w="3120"/>
            <w:vAlign w:val="center"/>
            <w:shd w:fill="FFFFFF"/>
            <w:tcMar>
              <w:top w:w="100" w:type="dxa"/>
              <w:bottom w:w="100" w:type="dxa"/>
              <w:left w:w="100" w:type="dxa"/>
              <w:right w:w="100" w:type="dxa"/>
            </w:tcMar>
          </w:tcPr>
          <w:p>
            <w:pPr>
              <w:spacing w:before="40" w:after="40" w:line="276" w:lineRule="auto"/>
              <w:jc w:val="center"/>
            </w:pPr>
            <w:r>
              <w:rPr>
                <w:rFonts w:ascii="Calibri" w:hAnsi="Calibri"/>
                <w:b/>
                <w:color w:val="000000"/>
                <w:sz w:val="26"/>
              </w:rPr>
              <w:t>Tiêu chí đối chiếu</w:t>
            </w:r>
          </w:p>
        </w:tc>
        <w:tc>
          <w:tcPr>
            <w:tcW w:type="dxa" w:w="3120"/>
            <w:vAlign w:val="center"/>
            <w:shd w:fill="FFFFFF"/>
            <w:tcMar>
              <w:top w:w="100" w:type="dxa"/>
              <w:bottom w:w="100" w:type="dxa"/>
              <w:left w:w="100" w:type="dxa"/>
              <w:right w:w="100" w:type="dxa"/>
            </w:tcMar>
          </w:tcPr>
          <w:p>
            <w:pPr>
              <w:spacing w:before="40" w:after="40" w:line="276" w:lineRule="auto"/>
              <w:jc w:val="left"/>
            </w:pPr>
            <w:r>
              <w:rPr>
                <w:rFonts w:ascii="Calibri" w:hAnsi="Calibri"/>
                <w:b/>
                <w:color w:val="000000"/>
                <w:sz w:val="26"/>
              </w:rPr>
              <w:t>Skip Rate (Chỉ báo sớm - Leading)</w:t>
            </w:r>
          </w:p>
        </w:tc>
        <w:tc>
          <w:tcPr>
            <w:tcW w:type="dxa" w:w="3120"/>
            <w:vAlign w:val="center"/>
            <w:shd w:fill="FFFFFF"/>
            <w:tcMar>
              <w:top w:w="100" w:type="dxa"/>
              <w:bottom w:w="100" w:type="dxa"/>
              <w:left w:w="100" w:type="dxa"/>
              <w:right w:w="100" w:type="dxa"/>
            </w:tcMar>
          </w:tcPr>
          <w:p>
            <w:pPr>
              <w:spacing w:before="40" w:after="40" w:line="276" w:lineRule="auto"/>
              <w:jc w:val="left"/>
            </w:pPr>
            <w:r>
              <w:rPr>
                <w:rFonts w:ascii="Calibri" w:hAnsi="Calibri"/>
                <w:b/>
                <w:color w:val="000000"/>
                <w:sz w:val="26"/>
              </w:rPr>
              <w:t>Doanh Thu Quảng Cáo (Chỉ báo trễ - Lagging)</w:t>
            </w:r>
          </w:p>
        </w:tc>
      </w:tr>
      <w:tr>
        <w:tc>
          <w:tcPr>
            <w:tcW w:type="dxa" w:w="3120"/>
            <w:vAlign w:val="center"/>
            <w:shd w:fill="FFFFFF"/>
            <w:tcMar>
              <w:top w:w="100" w:type="dxa"/>
              <w:bottom w:w="100" w:type="dxa"/>
              <w:left w:w="100" w:type="dxa"/>
              <w:right w:w="100" w:type="dxa"/>
            </w:tcMar>
          </w:tcPr>
          <w:p>
            <w:pPr>
              <w:spacing w:before="40" w:after="40" w:line="276" w:lineRule="auto"/>
              <w:jc w:val="center"/>
            </w:pPr>
            <w:r>
              <w:rPr>
                <w:rFonts w:ascii="Calibri" w:hAnsi="Calibri"/>
                <w:b/>
                <w:color w:val="000000"/>
                <w:sz w:val="26"/>
              </w:rPr>
              <w:t>Thời điểm ghi nhận</w:t>
            </w:r>
          </w:p>
        </w:tc>
        <w:tc>
          <w:tcPr>
            <w:tcW w:type="dxa" w:w="3120"/>
            <w:vAlign w:val="center"/>
            <w:shd w:fill="FFFFFF"/>
            <w:tcMar>
              <w:top w:w="100" w:type="dxa"/>
              <w:bottom w:w="100" w:type="dxa"/>
              <w:left w:w="100" w:type="dxa"/>
              <w:right w:w="100" w:type="dxa"/>
            </w:tcMar>
          </w:tcPr>
          <w:p>
            <w:pPr>
              <w:spacing w:before="40" w:after="40" w:line="276" w:lineRule="auto"/>
              <w:jc w:val="left"/>
            </w:pPr>
            <w:r>
              <w:rPr>
                <w:rFonts w:ascii="Calibri" w:hAnsi="Calibri"/>
                <w:color w:val="000000"/>
                <w:sz w:val="26"/>
              </w:rPr>
              <w:t>Ghi nhận theo thời gian thực (Real-time) mỗi khi người dùng bấm Skip trên màn hình ứng dụng.</w:t>
            </w:r>
          </w:p>
        </w:tc>
        <w:tc>
          <w:tcPr>
            <w:tcW w:type="dxa" w:w="3120"/>
            <w:vAlign w:val="center"/>
            <w:shd w:fill="FFFFFF"/>
            <w:tcMar>
              <w:top w:w="100" w:type="dxa"/>
              <w:bottom w:w="100" w:type="dxa"/>
              <w:left w:w="100" w:type="dxa"/>
              <w:right w:w="100" w:type="dxa"/>
            </w:tcMar>
          </w:tcPr>
          <w:p>
            <w:pPr>
              <w:spacing w:before="40" w:after="40" w:line="276" w:lineRule="auto"/>
              <w:jc w:val="left"/>
            </w:pPr>
            <w:r>
              <w:rPr>
                <w:rFonts w:ascii="Calibri" w:hAnsi="Calibri"/>
                <w:color w:val="000000"/>
                <w:sz w:val="26"/>
              </w:rPr>
              <w:t>Chỉ biết được vào cuối tháng sau khi bộ phận tài chính/kế toán tổng hợp và đối soát số liệu.</w:t>
            </w:r>
          </w:p>
        </w:tc>
      </w:tr>
      <w:tr>
        <w:tc>
          <w:tcPr>
            <w:tcW w:type="dxa" w:w="3120"/>
            <w:vAlign w:val="center"/>
            <w:shd w:fill="FFFFFF"/>
            <w:tcMar>
              <w:top w:w="100" w:type="dxa"/>
              <w:bottom w:w="100" w:type="dxa"/>
              <w:left w:w="100" w:type="dxa"/>
              <w:right w:w="100" w:type="dxa"/>
            </w:tcMar>
          </w:tcPr>
          <w:p>
            <w:pPr>
              <w:spacing w:before="40" w:after="40" w:line="276" w:lineRule="auto"/>
              <w:jc w:val="center"/>
            </w:pPr>
            <w:r>
              <w:rPr>
                <w:rFonts w:ascii="Calibri" w:hAnsi="Calibri"/>
                <w:b/>
                <w:color w:val="000000"/>
                <w:sz w:val="26"/>
              </w:rPr>
              <w:t>Giá trị hành động</w:t>
            </w:r>
          </w:p>
        </w:tc>
        <w:tc>
          <w:tcPr>
            <w:tcW w:type="dxa" w:w="3120"/>
            <w:vAlign w:val="center"/>
            <w:shd w:fill="FFFFFF"/>
            <w:tcMar>
              <w:top w:w="100" w:type="dxa"/>
              <w:bottom w:w="100" w:type="dxa"/>
              <w:left w:w="100" w:type="dxa"/>
              <w:right w:w="100" w:type="dxa"/>
            </w:tcMar>
          </w:tcPr>
          <w:p>
            <w:pPr>
              <w:spacing w:before="40" w:after="40" w:line="276" w:lineRule="auto"/>
              <w:jc w:val="left"/>
            </w:pPr>
            <w:r>
              <w:rPr>
                <w:rFonts w:ascii="Calibri" w:hAnsi="Calibri"/>
                <w:color w:val="000000"/>
                <w:sz w:val="26"/>
              </w:rPr>
              <w:t>Báo trước nguy cơ người dùng rời bỏ và doanh thu giảm ngay từ tuần đầu tiên, giúp đội ngũ vận hành can thiệp kịp thời.</w:t>
            </w:r>
          </w:p>
        </w:tc>
        <w:tc>
          <w:tcPr>
            <w:tcW w:type="dxa" w:w="3120"/>
            <w:vAlign w:val="center"/>
            <w:shd w:fill="FFFFFF"/>
            <w:tcMar>
              <w:top w:w="100" w:type="dxa"/>
              <w:bottom w:w="100" w:type="dxa"/>
              <w:left w:w="100" w:type="dxa"/>
              <w:right w:w="100" w:type="dxa"/>
            </w:tcMar>
          </w:tcPr>
          <w:p>
            <w:pPr>
              <w:spacing w:before="40" w:after="40" w:line="276" w:lineRule="auto"/>
              <w:jc w:val="left"/>
            </w:pPr>
            <w:r>
              <w:rPr>
                <w:rFonts w:ascii="Calibri" w:hAnsi="Calibri"/>
                <w:color w:val="000000"/>
                <w:sz w:val="26"/>
              </w:rPr>
              <w:t>Chỉ phản ánh kết quả đã rồi trong quá khứ. Khi nhìn thấy doanh thu giảm 40%, tiền đã mất và không thể khắc phục.</w:t>
            </w:r>
          </w:p>
        </w:tc>
      </w:tr>
    </w:tbl>
    <w:p>
      <w:pPr>
        <w:spacing w:after="80"/>
      </w:pPr>
    </w:p>
    <w:p>
      <w:pPr>
        <w:keepNext/>
        <w:spacing w:before="240" w:after="80" w:line="276" w:lineRule="auto"/>
      </w:pPr>
      <w:r>
        <w:rPr>
          <w:rFonts w:ascii="Calibri" w:hAnsi="Calibri"/>
          <w:b/>
          <w:color w:val="000000"/>
          <w:sz w:val="26"/>
        </w:rPr>
        <w:t>BƯỚC 4: ĐỀ XUẤT 2 ACTIONABLE BUSINESS RULES</w:t>
      </w:r>
    </w:p>
    <w:p>
      <w:pPr>
        <w:spacing w:line="276" w:lineRule="auto" w:after="80"/>
      </w:pPr>
      <w:r>
        <w:rPr>
          <w:color w:val="000000"/>
          <w:sz w:val="26"/>
        </w:rPr>
        <w:t>Nếu để người dùng skip tự do không giới hạn, họ sẽ coi việc bỏ qua quảng cáo là mặc nhiên, khiến Spotify mất nguồn thu từ nhà tài trợ. Tuy nhiên, nếu ép nghe quảng cáo cưỡng bức mà không có lợi ích đi kèm, người dùng sẽ bỏ sang nền tảng khác. Hai Business Rules tự động dưới đây giải quyết triệt để bài toán này khi người dùng skip 3 lần liên tiếp:</w:t>
      </w:r>
    </w:p>
    <w:p>
      <w:pPr>
        <w:spacing w:line="276" w:lineRule="auto" w:after="80"/>
        <w:ind w:left="288"/>
      </w:pPr>
      <w:r>
        <w:rPr>
          <w:b/>
          <w:color w:val="000000"/>
          <w:sz w:val="26"/>
        </w:rPr>
        <w:t>QUY TẮC 1: CƯỠNG CHẾ HOÀN TẤT KÈM PHẦN THƯỞNG 30 PHÚT KHÔNG QUẢNG CÁO</w:t>
        <w:br/>
      </w:r>
      <w:r>
        <w:rPr>
          <w:color w:val="000000"/>
          <w:sz w:val="26"/>
        </w:rPr>
        <w:t>• Điều kiện kích hoạt (Trigger): Khi một người dùng Free bấm nút "Skip" quảng cáo 3 lần liên tiếp trong cùng một phiên nghe (Session).</w:t>
        <w:br/>
        <w:t>• Hành động tự động của hệ thống:</w:t>
        <w:br/>
        <w:t xml:space="preserve">  1. Lượt quảng cáo tiếp theo (lần thứ 4) tự động chuyển sang định dạng Non-skippable (không có nút bỏ qua) với thời lượng cố định tối đa 15 giây.</w:t>
        <w:br/>
        <w:t xml:space="preserve">  2. Hiển thị thông điệp minh bạch: "Nghe trọn vẹn thông điệp 15 giây này để nhận ngay 30 phút nghe nhạc liền mạch không quảng cáo".</w:t>
        <w:br/>
        <w:t xml:space="preserve">  3. Sau khi nghe hết 15 giây: Hệ thống tự động đặt lại bộ đếm Skip về 0 và khóa toàn bộ quảng cáo trong đúng 30 phút tiếp theo.</w:t>
        <w:br/>
        <w:t>• Mục đích nghiệp vụ: Đảm bảo Spotify thu được tiền từ 1 lượt nghe trọn vẹn (cứu vãn doanh thu), đồng thời xoa dịu người nghe bằng phần thưởng giá trị, giữ chân họ tiếp tục ở lại app.</w:t>
      </w:r>
    </w:p>
    <w:p>
      <w:pPr>
        <w:spacing w:line="276" w:lineRule="auto" w:after="120"/>
        <w:ind w:left="288"/>
      </w:pPr>
      <w:r>
        <w:rPr>
          <w:b/>
          <w:color w:val="000000"/>
          <w:sz w:val="26"/>
        </w:rPr>
        <w:t>QUY TẮC 2: PHỄU CHUYỂN ĐỔI NGƯỜI DÙNG SANG GÓI TRẢ PHÍ PREMIUM (UPSELL FUNNEL)</w:t>
        <w:br/>
      </w:r>
      <w:r>
        <w:rPr>
          <w:color w:val="000000"/>
          <w:sz w:val="26"/>
        </w:rPr>
        <w:t>• Điều kiện kích hoạt (Trigger): Khi người dùng chạm mốc skip 3 lần liên tiếp và chuẩn bị phát quảng cáo bắt buộc.</w:t>
        <w:br/>
        <w:t>• Hành động tự động của hệ thống:</w:t>
        <w:br/>
        <w:t xml:space="preserve">  Hiển thị màn hình pop-up với 2 lựa chọn thông minh:</w:t>
        <w:br/>
        <w:t xml:space="preserve">  - Lựa chọn A (Quảng cáo tài trợ): Xem 1 video quảng cáo ngắn 30 giây (Non-skippable) để đổi lấy 45 phút nghe nhạc không gián đoạn.</w:t>
        <w:br/>
        <w:t xml:space="preserve">  - Lựa chọn B (Dùng thử Premium): Bấm kích hoạt gói Spotify Premium miễn phí 30 ngày (âm thanh lossless, tải bài hát offline, vĩnh viễn không có quảng cáo).</w:t>
        <w:br/>
        <w:t>• Mục đích nghiệp vụ: Người hay bấm skip là nhóm khách hàng cực kỳ ghét quảng cáo. Đây chính là tệp khách hàng tiềm năng nhất để chuyển đổi sang gói trả phí thuê bao, mang lại dòng tiền định kỳ bền vững cho Spotify.</w:t>
      </w:r>
    </w:p>
    <w:p>
      <w:pPr>
        <w:keepNext/>
        <w:spacing w:before="240" w:after="80" w:line="276" w:lineRule="auto"/>
      </w:pPr>
      <w:r>
        <w:rPr>
          <w:rFonts w:ascii="Calibri" w:hAnsi="Calibri"/>
          <w:b/>
          <w:color w:val="000000"/>
          <w:sz w:val="26"/>
        </w:rPr>
        <w:t>3. BẢNG TỔNG HỢP CHỈ SỐ VÀ FILE ĐÍNH KÈM</w:t>
      </w:r>
    </w:p>
    <w:p>
      <w:pPr>
        <w:spacing w:line="276" w:lineRule="auto" w:after="80"/>
      </w:pPr>
      <w:r>
        <w:rPr>
          <w:color w:val="000000"/>
          <w:sz w:val="26"/>
        </w:rPr>
        <w:t xml:space="preserve">Bảng tính chi tiết và các biểu đồ Dashboard trực quan được lưu trữ tại file: </w:t>
      </w:r>
      <w:r>
        <w:rPr>
          <w:b/>
          <w:color w:val="000000"/>
          <w:sz w:val="26"/>
        </w:rPr>
        <w:t>BI301_S02_BTTH_DoHaiAnh.xlsx</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1872"/>
        <w:gridCol w:w="1872"/>
        <w:gridCol w:w="1872"/>
        <w:gridCol w:w="1872"/>
        <w:gridCol w:w="1872"/>
      </w:tblGrid>
      <w:tr>
        <w:tc>
          <w:tcPr>
            <w:tcW w:type="dxa" w:w="1872"/>
            <w:vAlign w:val="center"/>
            <w:shd w:fill="FFFFFF"/>
            <w:tcMar>
              <w:top w:w="80" w:type="dxa"/>
              <w:bottom w:w="80" w:type="dxa"/>
              <w:left w:w="80" w:type="dxa"/>
              <w:right w:w="80" w:type="dxa"/>
            </w:tcMar>
          </w:tcPr>
          <w:p>
            <w:pPr>
              <w:spacing w:before="40" w:after="40" w:line="276" w:lineRule="auto"/>
              <w:jc w:val="center"/>
            </w:pPr>
            <w:r>
              <w:rPr>
                <w:rFonts w:ascii="Calibri" w:hAnsi="Calibri"/>
                <w:b/>
                <w:color w:val="000000"/>
                <w:sz w:val="26"/>
              </w:rPr>
              <w:t>Chỉ số theo dõi</w:t>
            </w:r>
          </w:p>
        </w:tc>
        <w:tc>
          <w:tcPr>
            <w:tcW w:type="dxa" w:w="1872"/>
            <w:vAlign w:val="center"/>
            <w:shd w:fill="FFFFFF"/>
            <w:tcMar>
              <w:top w:w="80" w:type="dxa"/>
              <w:bottom w:w="80" w:type="dxa"/>
              <w:left w:w="80" w:type="dxa"/>
              <w:right w:w="80" w:type="dxa"/>
            </w:tcMar>
          </w:tcPr>
          <w:p>
            <w:pPr>
              <w:spacing w:before="40" w:after="40" w:line="276" w:lineRule="auto"/>
              <w:jc w:val="right"/>
            </w:pPr>
            <w:r>
              <w:rPr>
                <w:rFonts w:ascii="Calibri" w:hAnsi="Calibri"/>
                <w:b/>
                <w:color w:val="000000"/>
                <w:sz w:val="26"/>
              </w:rPr>
              <w:t>Tháng 9</w:t>
            </w:r>
          </w:p>
        </w:tc>
        <w:tc>
          <w:tcPr>
            <w:tcW w:type="dxa" w:w="1872"/>
            <w:vAlign w:val="center"/>
            <w:shd w:fill="FFFFFF"/>
            <w:tcMar>
              <w:top w:w="80" w:type="dxa"/>
              <w:bottom w:w="80" w:type="dxa"/>
              <w:left w:w="80" w:type="dxa"/>
              <w:right w:w="80" w:type="dxa"/>
            </w:tcMar>
          </w:tcPr>
          <w:p>
            <w:pPr>
              <w:spacing w:before="40" w:after="40" w:line="276" w:lineRule="auto"/>
              <w:jc w:val="right"/>
            </w:pPr>
            <w:r>
              <w:rPr>
                <w:rFonts w:ascii="Calibri" w:hAnsi="Calibri"/>
                <w:b/>
                <w:color w:val="000000"/>
                <w:sz w:val="26"/>
              </w:rPr>
              <w:t>Tháng 10</w:t>
            </w:r>
          </w:p>
        </w:tc>
        <w:tc>
          <w:tcPr>
            <w:tcW w:type="dxa" w:w="1872"/>
            <w:vAlign w:val="center"/>
            <w:shd w:fill="FFFFFF"/>
            <w:tcMar>
              <w:top w:w="80" w:type="dxa"/>
              <w:bottom w:w="80" w:type="dxa"/>
              <w:left w:w="80" w:type="dxa"/>
              <w:right w:w="80" w:type="dxa"/>
            </w:tcMar>
          </w:tcPr>
          <w:p>
            <w:pPr>
              <w:spacing w:before="40" w:after="40" w:line="276" w:lineRule="auto"/>
              <w:jc w:val="center"/>
            </w:pPr>
            <w:r>
              <w:rPr>
                <w:rFonts w:ascii="Calibri" w:hAnsi="Calibri"/>
                <w:b/>
                <w:color w:val="000000"/>
                <w:sz w:val="26"/>
              </w:rPr>
              <w:t>Biến Động</w:t>
            </w:r>
          </w:p>
        </w:tc>
        <w:tc>
          <w:tcPr>
            <w:tcW w:type="dxa" w:w="1872"/>
            <w:vAlign w:val="center"/>
            <w:shd w:fill="FFFFFF"/>
            <w:tcMar>
              <w:top w:w="80" w:type="dxa"/>
              <w:bottom w:w="80" w:type="dxa"/>
              <w:left w:w="80" w:type="dxa"/>
              <w:right w:w="80" w:type="dxa"/>
            </w:tcMar>
          </w:tcPr>
          <w:p>
            <w:pPr>
              <w:spacing w:before="40" w:after="40" w:line="276" w:lineRule="auto"/>
              <w:jc w:val="left"/>
            </w:pPr>
            <w:r>
              <w:rPr>
                <w:rFonts w:ascii="Calibri" w:hAnsi="Calibri"/>
                <w:b/>
                <w:color w:val="000000"/>
                <w:sz w:val="26"/>
              </w:rPr>
              <w:t>Đánh Giá Nghiệp Vụ</w:t>
            </w:r>
          </w:p>
        </w:tc>
      </w:tr>
      <w:tr>
        <w:tc>
          <w:tcPr>
            <w:tcW w:type="dxa" w:w="1872"/>
            <w:vAlign w:val="center"/>
            <w:shd w:fill="FFFFFF"/>
            <w:tcMar>
              <w:top w:w="80" w:type="dxa"/>
              <w:bottom w:w="80" w:type="dxa"/>
              <w:left w:w="80" w:type="dxa"/>
              <w:right w:w="80" w:type="dxa"/>
            </w:tcMar>
          </w:tcPr>
          <w:p>
            <w:pPr>
              <w:spacing w:before="40" w:after="40" w:line="276" w:lineRule="auto"/>
              <w:jc w:val="center"/>
            </w:pPr>
            <w:r>
              <w:rPr>
                <w:rFonts w:ascii="Calibri" w:hAnsi="Calibri"/>
                <w:b/>
                <w:color w:val="000000"/>
                <w:sz w:val="26"/>
              </w:rPr>
              <w:t>Số người dùng miễn phí (Free Users)</w:t>
            </w:r>
          </w:p>
        </w:tc>
        <w:tc>
          <w:tcPr>
            <w:tcW w:type="dxa" w:w="1872"/>
            <w:vAlign w:val="center"/>
            <w:shd w:fill="FFFFFF"/>
            <w:tcMar>
              <w:top w:w="80" w:type="dxa"/>
              <w:bottom w:w="80" w:type="dxa"/>
              <w:left w:w="80" w:type="dxa"/>
              <w:right w:w="80" w:type="dxa"/>
            </w:tcMar>
          </w:tcPr>
          <w:p>
            <w:pPr>
              <w:spacing w:before="40" w:after="40" w:line="276" w:lineRule="auto"/>
              <w:jc w:val="right"/>
            </w:pPr>
            <w:r>
              <w:rPr>
                <w:rFonts w:ascii="Calibri" w:hAnsi="Calibri"/>
                <w:color w:val="000000"/>
                <w:sz w:val="26"/>
              </w:rPr>
              <w:t>10,0 triệu</w:t>
            </w:r>
          </w:p>
        </w:tc>
        <w:tc>
          <w:tcPr>
            <w:tcW w:type="dxa" w:w="1872"/>
            <w:vAlign w:val="center"/>
            <w:shd w:fill="FFFFFF"/>
            <w:tcMar>
              <w:top w:w="80" w:type="dxa"/>
              <w:bottom w:w="80" w:type="dxa"/>
              <w:left w:w="80" w:type="dxa"/>
              <w:right w:w="80" w:type="dxa"/>
            </w:tcMar>
          </w:tcPr>
          <w:p>
            <w:pPr>
              <w:spacing w:before="40" w:after="40" w:line="276" w:lineRule="auto"/>
              <w:jc w:val="right"/>
            </w:pPr>
            <w:r>
              <w:rPr>
                <w:rFonts w:ascii="Calibri" w:hAnsi="Calibri"/>
                <w:color w:val="000000"/>
                <w:sz w:val="26"/>
              </w:rPr>
              <w:t>11,0 triệu</w:t>
            </w:r>
          </w:p>
        </w:tc>
        <w:tc>
          <w:tcPr>
            <w:tcW w:type="dxa" w:w="1872"/>
            <w:vAlign w:val="center"/>
            <w:shd w:fill="FFFFFF"/>
            <w:tcMar>
              <w:top w:w="80" w:type="dxa"/>
              <w:bottom w:w="80" w:type="dxa"/>
              <w:left w:w="80" w:type="dxa"/>
              <w:right w:w="80" w:type="dxa"/>
            </w:tcMar>
          </w:tcPr>
          <w:p>
            <w:pPr>
              <w:spacing w:before="40" w:after="40" w:line="276" w:lineRule="auto"/>
              <w:jc w:val="center"/>
            </w:pPr>
            <w:r>
              <w:rPr>
                <w:rFonts w:ascii="Calibri" w:hAnsi="Calibri"/>
                <w:b/>
                <w:color w:val="000000"/>
                <w:sz w:val="26"/>
              </w:rPr>
              <w:t>+10,0%</w:t>
            </w:r>
          </w:p>
        </w:tc>
        <w:tc>
          <w:tcPr>
            <w:tcW w:type="dxa" w:w="1872"/>
            <w:vAlign w:val="center"/>
            <w:shd w:fill="FFFFFF"/>
            <w:tcMar>
              <w:top w:w="80" w:type="dxa"/>
              <w:bottom w:w="80" w:type="dxa"/>
              <w:left w:w="80" w:type="dxa"/>
              <w:right w:w="80" w:type="dxa"/>
            </w:tcMar>
          </w:tcPr>
          <w:p>
            <w:pPr>
              <w:spacing w:before="40" w:after="40" w:line="276" w:lineRule="auto"/>
              <w:jc w:val="left"/>
            </w:pPr>
            <w:r>
              <w:rPr>
                <w:rFonts w:ascii="Calibri" w:hAnsi="Calibri"/>
                <w:color w:val="000000"/>
                <w:sz w:val="26"/>
              </w:rPr>
              <w:t>Quy mô người dùng mở rộng tốt</w:t>
            </w:r>
          </w:p>
        </w:tc>
      </w:tr>
      <w:tr>
        <w:tc>
          <w:tcPr>
            <w:tcW w:type="dxa" w:w="1872"/>
            <w:vAlign w:val="center"/>
            <w:shd w:fill="FFFFFF"/>
            <w:tcMar>
              <w:top w:w="80" w:type="dxa"/>
              <w:bottom w:w="80" w:type="dxa"/>
              <w:left w:w="80" w:type="dxa"/>
              <w:right w:w="80" w:type="dxa"/>
            </w:tcMar>
          </w:tcPr>
          <w:p>
            <w:pPr>
              <w:spacing w:before="40" w:after="40" w:line="276" w:lineRule="auto"/>
              <w:jc w:val="center"/>
            </w:pPr>
            <w:r>
              <w:rPr>
                <w:rFonts w:ascii="Calibri" w:hAnsi="Calibri"/>
                <w:b/>
                <w:color w:val="000000"/>
                <w:sz w:val="26"/>
              </w:rPr>
              <w:t>Giờ nghe trung bình / User</w:t>
            </w:r>
          </w:p>
        </w:tc>
        <w:tc>
          <w:tcPr>
            <w:tcW w:type="dxa" w:w="1872"/>
            <w:vAlign w:val="center"/>
            <w:shd w:fill="FFFFFF"/>
            <w:tcMar>
              <w:top w:w="80" w:type="dxa"/>
              <w:bottom w:w="80" w:type="dxa"/>
              <w:left w:w="80" w:type="dxa"/>
              <w:right w:w="80" w:type="dxa"/>
            </w:tcMar>
          </w:tcPr>
          <w:p>
            <w:pPr>
              <w:spacing w:before="40" w:after="40" w:line="276" w:lineRule="auto"/>
              <w:jc w:val="right"/>
            </w:pPr>
            <w:r>
              <w:rPr>
                <w:rFonts w:ascii="Calibri" w:hAnsi="Calibri"/>
                <w:color w:val="000000"/>
                <w:sz w:val="26"/>
              </w:rPr>
              <w:t>45,0 giờ</w:t>
            </w:r>
          </w:p>
        </w:tc>
        <w:tc>
          <w:tcPr>
            <w:tcW w:type="dxa" w:w="1872"/>
            <w:vAlign w:val="center"/>
            <w:shd w:fill="FFFFFF"/>
            <w:tcMar>
              <w:top w:w="80" w:type="dxa"/>
              <w:bottom w:w="80" w:type="dxa"/>
              <w:left w:w="80" w:type="dxa"/>
              <w:right w:w="80" w:type="dxa"/>
            </w:tcMar>
          </w:tcPr>
          <w:p>
            <w:pPr>
              <w:spacing w:before="40" w:after="40" w:line="276" w:lineRule="auto"/>
              <w:jc w:val="right"/>
            </w:pPr>
            <w:r>
              <w:rPr>
                <w:rFonts w:ascii="Calibri" w:hAnsi="Calibri"/>
                <w:color w:val="000000"/>
                <w:sz w:val="26"/>
              </w:rPr>
              <w:t>30,0 giờ</w:t>
            </w:r>
          </w:p>
        </w:tc>
        <w:tc>
          <w:tcPr>
            <w:tcW w:type="dxa" w:w="1872"/>
            <w:vAlign w:val="center"/>
            <w:shd w:fill="FFFFFF"/>
            <w:tcMar>
              <w:top w:w="80" w:type="dxa"/>
              <w:bottom w:w="80" w:type="dxa"/>
              <w:left w:w="80" w:type="dxa"/>
              <w:right w:w="80" w:type="dxa"/>
            </w:tcMar>
          </w:tcPr>
          <w:p>
            <w:pPr>
              <w:spacing w:before="40" w:after="40" w:line="276" w:lineRule="auto"/>
              <w:jc w:val="center"/>
            </w:pPr>
            <w:r>
              <w:rPr>
                <w:rFonts w:ascii="Calibri" w:hAnsi="Calibri"/>
                <w:b/>
                <w:color w:val="000000"/>
                <w:sz w:val="26"/>
              </w:rPr>
              <w:t>-33,3%</w:t>
            </w:r>
          </w:p>
        </w:tc>
        <w:tc>
          <w:tcPr>
            <w:tcW w:type="dxa" w:w="1872"/>
            <w:vAlign w:val="center"/>
            <w:shd w:fill="FFFFFF"/>
            <w:tcMar>
              <w:top w:w="80" w:type="dxa"/>
              <w:bottom w:w="80" w:type="dxa"/>
              <w:left w:w="80" w:type="dxa"/>
              <w:right w:w="80" w:type="dxa"/>
            </w:tcMar>
          </w:tcPr>
          <w:p>
            <w:pPr>
              <w:spacing w:before="40" w:after="40" w:line="276" w:lineRule="auto"/>
              <w:jc w:val="left"/>
            </w:pPr>
            <w:r>
              <w:rPr>
                <w:rFonts w:ascii="Calibri" w:hAnsi="Calibri"/>
                <w:color w:val="000000"/>
                <w:sz w:val="26"/>
              </w:rPr>
              <w:t>Thời lượng gắn kết suy giảm mạnh</w:t>
            </w:r>
          </w:p>
        </w:tc>
      </w:tr>
      <w:tr>
        <w:tc>
          <w:tcPr>
            <w:tcW w:type="dxa" w:w="1872"/>
            <w:vAlign w:val="center"/>
            <w:shd w:fill="FFFFFF"/>
            <w:tcMar>
              <w:top w:w="80" w:type="dxa"/>
              <w:bottom w:w="80" w:type="dxa"/>
              <w:left w:w="80" w:type="dxa"/>
              <w:right w:w="80" w:type="dxa"/>
            </w:tcMar>
          </w:tcPr>
          <w:p>
            <w:pPr>
              <w:spacing w:before="40" w:after="40" w:line="276" w:lineRule="auto"/>
              <w:jc w:val="center"/>
            </w:pPr>
            <w:r>
              <w:rPr>
                <w:rFonts w:ascii="Calibri" w:hAnsi="Calibri"/>
                <w:b/>
                <w:color w:val="000000"/>
                <w:sz w:val="26"/>
              </w:rPr>
              <w:t>Tổng thời lượng nghe toàn hệ thống</w:t>
            </w:r>
          </w:p>
        </w:tc>
        <w:tc>
          <w:tcPr>
            <w:tcW w:type="dxa" w:w="1872"/>
            <w:vAlign w:val="center"/>
            <w:shd w:fill="FFFFFF"/>
            <w:tcMar>
              <w:top w:w="80" w:type="dxa"/>
              <w:bottom w:w="80" w:type="dxa"/>
              <w:left w:w="80" w:type="dxa"/>
              <w:right w:w="80" w:type="dxa"/>
            </w:tcMar>
          </w:tcPr>
          <w:p>
            <w:pPr>
              <w:spacing w:before="40" w:after="40" w:line="276" w:lineRule="auto"/>
              <w:jc w:val="right"/>
            </w:pPr>
            <w:r>
              <w:rPr>
                <w:rFonts w:ascii="Calibri" w:hAnsi="Calibri"/>
                <w:color w:val="000000"/>
                <w:sz w:val="26"/>
              </w:rPr>
              <w:t>450 triệu giờ</w:t>
            </w:r>
          </w:p>
        </w:tc>
        <w:tc>
          <w:tcPr>
            <w:tcW w:type="dxa" w:w="1872"/>
            <w:vAlign w:val="center"/>
            <w:shd w:fill="FFFFFF"/>
            <w:tcMar>
              <w:top w:w="80" w:type="dxa"/>
              <w:bottom w:w="80" w:type="dxa"/>
              <w:left w:w="80" w:type="dxa"/>
              <w:right w:w="80" w:type="dxa"/>
            </w:tcMar>
          </w:tcPr>
          <w:p>
            <w:pPr>
              <w:spacing w:before="40" w:after="40" w:line="276" w:lineRule="auto"/>
              <w:jc w:val="right"/>
            </w:pPr>
            <w:r>
              <w:rPr>
                <w:rFonts w:ascii="Calibri" w:hAnsi="Calibri"/>
                <w:color w:val="000000"/>
                <w:sz w:val="26"/>
              </w:rPr>
              <w:t>330 triệu giờ</w:t>
            </w:r>
          </w:p>
        </w:tc>
        <w:tc>
          <w:tcPr>
            <w:tcW w:type="dxa" w:w="1872"/>
            <w:vAlign w:val="center"/>
            <w:shd w:fill="FFFFFF"/>
            <w:tcMar>
              <w:top w:w="80" w:type="dxa"/>
              <w:bottom w:w="80" w:type="dxa"/>
              <w:left w:w="80" w:type="dxa"/>
              <w:right w:w="80" w:type="dxa"/>
            </w:tcMar>
          </w:tcPr>
          <w:p>
            <w:pPr>
              <w:spacing w:before="40" w:after="40" w:line="276" w:lineRule="auto"/>
              <w:jc w:val="center"/>
            </w:pPr>
            <w:r>
              <w:rPr>
                <w:rFonts w:ascii="Calibri" w:hAnsi="Calibri"/>
                <w:b/>
                <w:color w:val="000000"/>
                <w:sz w:val="26"/>
              </w:rPr>
              <w:t>-26,7%</w:t>
            </w:r>
          </w:p>
        </w:tc>
        <w:tc>
          <w:tcPr>
            <w:tcW w:type="dxa" w:w="1872"/>
            <w:vAlign w:val="center"/>
            <w:shd w:fill="FFFFFF"/>
            <w:tcMar>
              <w:top w:w="80" w:type="dxa"/>
              <w:bottom w:w="80" w:type="dxa"/>
              <w:left w:w="80" w:type="dxa"/>
              <w:right w:w="80" w:type="dxa"/>
            </w:tcMar>
          </w:tcPr>
          <w:p>
            <w:pPr>
              <w:spacing w:before="40" w:after="40" w:line="276" w:lineRule="auto"/>
              <w:jc w:val="left"/>
            </w:pPr>
            <w:r>
              <w:rPr>
                <w:rFonts w:ascii="Calibri" w:hAnsi="Calibri"/>
                <w:color w:val="000000"/>
                <w:sz w:val="26"/>
              </w:rPr>
              <w:t>Dung lượng hiển thị quảng cáo co hẹp</w:t>
            </w:r>
          </w:p>
        </w:tc>
      </w:tr>
      <w:tr>
        <w:tc>
          <w:tcPr>
            <w:tcW w:type="dxa" w:w="1872"/>
            <w:vAlign w:val="center"/>
            <w:shd w:fill="FFFFFF"/>
            <w:tcMar>
              <w:top w:w="80" w:type="dxa"/>
              <w:bottom w:w="80" w:type="dxa"/>
              <w:left w:w="80" w:type="dxa"/>
              <w:right w:w="80" w:type="dxa"/>
            </w:tcMar>
          </w:tcPr>
          <w:p>
            <w:pPr>
              <w:spacing w:before="40" w:after="40" w:line="276" w:lineRule="auto"/>
              <w:jc w:val="center"/>
            </w:pPr>
            <w:r>
              <w:rPr>
                <w:rFonts w:ascii="Calibri" w:hAnsi="Calibri"/>
                <w:b/>
                <w:color w:val="000000"/>
                <w:sz w:val="26"/>
              </w:rPr>
              <w:t>Tỷ lệ bỏ qua quảng cáo (Skip Rate)</w:t>
            </w:r>
          </w:p>
        </w:tc>
        <w:tc>
          <w:tcPr>
            <w:tcW w:type="dxa" w:w="1872"/>
            <w:vAlign w:val="center"/>
            <w:shd w:fill="FFFFFF"/>
            <w:tcMar>
              <w:top w:w="80" w:type="dxa"/>
              <w:bottom w:w="80" w:type="dxa"/>
              <w:left w:w="80" w:type="dxa"/>
              <w:right w:w="80" w:type="dxa"/>
            </w:tcMar>
          </w:tcPr>
          <w:p>
            <w:pPr>
              <w:spacing w:before="40" w:after="40" w:line="276" w:lineRule="auto"/>
              <w:jc w:val="right"/>
            </w:pPr>
            <w:r>
              <w:rPr>
                <w:rFonts w:ascii="Calibri" w:hAnsi="Calibri"/>
                <w:color w:val="000000"/>
                <w:sz w:val="26"/>
              </w:rPr>
              <w:t>80,0%</w:t>
            </w:r>
          </w:p>
        </w:tc>
        <w:tc>
          <w:tcPr>
            <w:tcW w:type="dxa" w:w="1872"/>
            <w:vAlign w:val="center"/>
            <w:shd w:fill="FFFFFF"/>
            <w:tcMar>
              <w:top w:w="80" w:type="dxa"/>
              <w:bottom w:w="80" w:type="dxa"/>
              <w:left w:w="80" w:type="dxa"/>
              <w:right w:w="80" w:type="dxa"/>
            </w:tcMar>
          </w:tcPr>
          <w:p>
            <w:pPr>
              <w:spacing w:before="40" w:after="40" w:line="276" w:lineRule="auto"/>
              <w:jc w:val="right"/>
            </w:pPr>
            <w:r>
              <w:rPr>
                <w:rFonts w:ascii="Calibri" w:hAnsi="Calibri"/>
                <w:color w:val="000000"/>
                <w:sz w:val="26"/>
              </w:rPr>
              <w:t>95,0%</w:t>
            </w:r>
          </w:p>
        </w:tc>
        <w:tc>
          <w:tcPr>
            <w:tcW w:type="dxa" w:w="1872"/>
            <w:vAlign w:val="center"/>
            <w:shd w:fill="FFFFFF"/>
            <w:tcMar>
              <w:top w:w="80" w:type="dxa"/>
              <w:bottom w:w="80" w:type="dxa"/>
              <w:left w:w="80" w:type="dxa"/>
              <w:right w:w="80" w:type="dxa"/>
            </w:tcMar>
          </w:tcPr>
          <w:p>
            <w:pPr>
              <w:spacing w:before="40" w:after="40" w:line="276" w:lineRule="auto"/>
              <w:jc w:val="center"/>
            </w:pPr>
            <w:r>
              <w:rPr>
                <w:rFonts w:ascii="Calibri" w:hAnsi="Calibri"/>
                <w:b/>
                <w:color w:val="000000"/>
                <w:sz w:val="26"/>
              </w:rPr>
              <w:t>+18,8%</w:t>
            </w:r>
          </w:p>
        </w:tc>
        <w:tc>
          <w:tcPr>
            <w:tcW w:type="dxa" w:w="1872"/>
            <w:vAlign w:val="center"/>
            <w:shd w:fill="FFFFFF"/>
            <w:tcMar>
              <w:top w:w="80" w:type="dxa"/>
              <w:bottom w:w="80" w:type="dxa"/>
              <w:left w:w="80" w:type="dxa"/>
              <w:right w:w="80" w:type="dxa"/>
            </w:tcMar>
          </w:tcPr>
          <w:p>
            <w:pPr>
              <w:spacing w:before="40" w:after="40" w:line="276" w:lineRule="auto"/>
              <w:jc w:val="left"/>
            </w:pPr>
            <w:r>
              <w:rPr>
                <w:rFonts w:ascii="Calibri" w:hAnsi="Calibri"/>
                <w:color w:val="000000"/>
                <w:sz w:val="26"/>
              </w:rPr>
              <w:t>Phản ứng tiêu cực của người dùng tăng vọt</w:t>
            </w:r>
          </w:p>
        </w:tc>
      </w:tr>
      <w:tr>
        <w:tc>
          <w:tcPr>
            <w:tcW w:type="dxa" w:w="1872"/>
            <w:vAlign w:val="center"/>
            <w:shd w:fill="FFFFFF"/>
            <w:tcMar>
              <w:top w:w="80" w:type="dxa"/>
              <w:bottom w:w="80" w:type="dxa"/>
              <w:left w:w="80" w:type="dxa"/>
              <w:right w:w="80" w:type="dxa"/>
            </w:tcMar>
          </w:tcPr>
          <w:p>
            <w:pPr>
              <w:spacing w:before="40" w:after="40" w:line="276" w:lineRule="auto"/>
              <w:jc w:val="center"/>
            </w:pPr>
            <w:r>
              <w:rPr>
                <w:rFonts w:ascii="Calibri" w:hAnsi="Calibri"/>
                <w:b/>
                <w:color w:val="000000"/>
                <w:sz w:val="26"/>
              </w:rPr>
              <w:t>Tỷ lệ nghe hết quảng cáo (Completion)</w:t>
            </w:r>
          </w:p>
        </w:tc>
        <w:tc>
          <w:tcPr>
            <w:tcW w:type="dxa" w:w="1872"/>
            <w:vAlign w:val="center"/>
            <w:shd w:fill="FFFFFF"/>
            <w:tcMar>
              <w:top w:w="80" w:type="dxa"/>
              <w:bottom w:w="80" w:type="dxa"/>
              <w:left w:w="80" w:type="dxa"/>
              <w:right w:w="80" w:type="dxa"/>
            </w:tcMar>
          </w:tcPr>
          <w:p>
            <w:pPr>
              <w:spacing w:before="40" w:after="40" w:line="276" w:lineRule="auto"/>
              <w:jc w:val="right"/>
            </w:pPr>
            <w:r>
              <w:rPr>
                <w:rFonts w:ascii="Calibri" w:hAnsi="Calibri"/>
                <w:color w:val="000000"/>
                <w:sz w:val="26"/>
              </w:rPr>
              <w:t>20,0%</w:t>
            </w:r>
          </w:p>
        </w:tc>
        <w:tc>
          <w:tcPr>
            <w:tcW w:type="dxa" w:w="1872"/>
            <w:vAlign w:val="center"/>
            <w:shd w:fill="FFFFFF"/>
            <w:tcMar>
              <w:top w:w="80" w:type="dxa"/>
              <w:bottom w:w="80" w:type="dxa"/>
              <w:left w:w="80" w:type="dxa"/>
              <w:right w:w="80" w:type="dxa"/>
            </w:tcMar>
          </w:tcPr>
          <w:p>
            <w:pPr>
              <w:spacing w:before="40" w:after="40" w:line="276" w:lineRule="auto"/>
              <w:jc w:val="right"/>
            </w:pPr>
            <w:r>
              <w:rPr>
                <w:rFonts w:ascii="Calibri" w:hAnsi="Calibri"/>
                <w:color w:val="000000"/>
                <w:sz w:val="26"/>
              </w:rPr>
              <w:t>5,0%</w:t>
            </w:r>
          </w:p>
        </w:tc>
        <w:tc>
          <w:tcPr>
            <w:tcW w:type="dxa" w:w="1872"/>
            <w:vAlign w:val="center"/>
            <w:shd w:fill="FFFFFF"/>
            <w:tcMar>
              <w:top w:w="80" w:type="dxa"/>
              <w:bottom w:w="80" w:type="dxa"/>
              <w:left w:w="80" w:type="dxa"/>
              <w:right w:w="80" w:type="dxa"/>
            </w:tcMar>
          </w:tcPr>
          <w:p>
            <w:pPr>
              <w:spacing w:before="40" w:after="40" w:line="276" w:lineRule="auto"/>
              <w:jc w:val="center"/>
            </w:pPr>
            <w:r>
              <w:rPr>
                <w:rFonts w:ascii="Calibri" w:hAnsi="Calibri"/>
                <w:b/>
                <w:color w:val="000000"/>
                <w:sz w:val="26"/>
              </w:rPr>
              <w:t>-75,0%</w:t>
            </w:r>
          </w:p>
        </w:tc>
        <w:tc>
          <w:tcPr>
            <w:tcW w:type="dxa" w:w="1872"/>
            <w:vAlign w:val="center"/>
            <w:shd w:fill="FFFFFF"/>
            <w:tcMar>
              <w:top w:w="80" w:type="dxa"/>
              <w:bottom w:w="80" w:type="dxa"/>
              <w:left w:w="80" w:type="dxa"/>
              <w:right w:w="80" w:type="dxa"/>
            </w:tcMar>
          </w:tcPr>
          <w:p>
            <w:pPr>
              <w:spacing w:before="40" w:after="40" w:line="276" w:lineRule="auto"/>
              <w:jc w:val="left"/>
            </w:pPr>
            <w:r>
              <w:rPr>
                <w:rFonts w:ascii="Calibri" w:hAnsi="Calibri"/>
                <w:color w:val="000000"/>
                <w:sz w:val="26"/>
              </w:rPr>
              <w:t>Lượt hiển thị tính tiền sụp đổ nghiêm trọng</w:t>
            </w:r>
          </w:p>
        </w:tc>
      </w:tr>
      <w:tr>
        <w:tc>
          <w:tcPr>
            <w:tcW w:type="dxa" w:w="1872"/>
            <w:vAlign w:val="center"/>
            <w:shd w:fill="FFFFFF"/>
            <w:tcMar>
              <w:top w:w="80" w:type="dxa"/>
              <w:bottom w:w="80" w:type="dxa"/>
              <w:left w:w="80" w:type="dxa"/>
              <w:right w:w="80" w:type="dxa"/>
            </w:tcMar>
          </w:tcPr>
          <w:p>
            <w:pPr>
              <w:spacing w:before="40" w:after="40" w:line="276" w:lineRule="auto"/>
              <w:jc w:val="center"/>
            </w:pPr>
            <w:r>
              <w:rPr>
                <w:rFonts w:ascii="Calibri" w:hAnsi="Calibri"/>
                <w:b/>
                <w:color w:val="000000"/>
                <w:sz w:val="26"/>
              </w:rPr>
              <w:t>Doanh thu quảng cáo</w:t>
            </w:r>
          </w:p>
        </w:tc>
        <w:tc>
          <w:tcPr>
            <w:tcW w:type="dxa" w:w="1872"/>
            <w:vAlign w:val="center"/>
            <w:shd w:fill="FFFFFF"/>
            <w:tcMar>
              <w:top w:w="80" w:type="dxa"/>
              <w:bottom w:w="80" w:type="dxa"/>
              <w:left w:w="80" w:type="dxa"/>
              <w:right w:w="80" w:type="dxa"/>
            </w:tcMar>
          </w:tcPr>
          <w:p>
            <w:pPr>
              <w:spacing w:before="40" w:after="40" w:line="276" w:lineRule="auto"/>
              <w:jc w:val="right"/>
            </w:pPr>
            <w:r>
              <w:rPr>
                <w:rFonts w:ascii="Calibri" w:hAnsi="Calibri"/>
                <w:color w:val="000000"/>
                <w:sz w:val="26"/>
              </w:rPr>
              <w:t>5,0 triệu USD</w:t>
            </w:r>
          </w:p>
        </w:tc>
        <w:tc>
          <w:tcPr>
            <w:tcW w:type="dxa" w:w="1872"/>
            <w:vAlign w:val="center"/>
            <w:shd w:fill="FFFFFF"/>
            <w:tcMar>
              <w:top w:w="80" w:type="dxa"/>
              <w:bottom w:w="80" w:type="dxa"/>
              <w:left w:w="80" w:type="dxa"/>
              <w:right w:w="80" w:type="dxa"/>
            </w:tcMar>
          </w:tcPr>
          <w:p>
            <w:pPr>
              <w:spacing w:before="40" w:after="40" w:line="276" w:lineRule="auto"/>
              <w:jc w:val="right"/>
            </w:pPr>
            <w:r>
              <w:rPr>
                <w:rFonts w:ascii="Calibri" w:hAnsi="Calibri"/>
                <w:color w:val="000000"/>
                <w:sz w:val="26"/>
              </w:rPr>
              <w:t>3,0 triệu USD</w:t>
            </w:r>
          </w:p>
        </w:tc>
        <w:tc>
          <w:tcPr>
            <w:tcW w:type="dxa" w:w="1872"/>
            <w:vAlign w:val="center"/>
            <w:shd w:fill="FFFFFF"/>
            <w:tcMar>
              <w:top w:w="80" w:type="dxa"/>
              <w:bottom w:w="80" w:type="dxa"/>
              <w:left w:w="80" w:type="dxa"/>
              <w:right w:w="80" w:type="dxa"/>
            </w:tcMar>
          </w:tcPr>
          <w:p>
            <w:pPr>
              <w:spacing w:before="40" w:after="40" w:line="276" w:lineRule="auto"/>
              <w:jc w:val="center"/>
            </w:pPr>
            <w:r>
              <w:rPr>
                <w:rFonts w:ascii="Calibri" w:hAnsi="Calibri"/>
                <w:b/>
                <w:color w:val="000000"/>
                <w:sz w:val="26"/>
              </w:rPr>
              <w:t>-40,0%</w:t>
            </w:r>
          </w:p>
        </w:tc>
        <w:tc>
          <w:tcPr>
            <w:tcW w:type="dxa" w:w="1872"/>
            <w:vAlign w:val="center"/>
            <w:shd w:fill="FFFFFF"/>
            <w:tcMar>
              <w:top w:w="80" w:type="dxa"/>
              <w:bottom w:w="80" w:type="dxa"/>
              <w:left w:w="80" w:type="dxa"/>
              <w:right w:w="80" w:type="dxa"/>
            </w:tcMar>
          </w:tcPr>
          <w:p>
            <w:pPr>
              <w:spacing w:before="40" w:after="40" w:line="276" w:lineRule="auto"/>
              <w:jc w:val="left"/>
            </w:pPr>
            <w:r>
              <w:rPr>
                <w:rFonts w:ascii="Calibri" w:hAnsi="Calibri"/>
                <w:color w:val="000000"/>
                <w:sz w:val="26"/>
              </w:rPr>
              <w:t>Khủng hoảng dòng tiền quảng cáo</w:t>
            </w:r>
          </w:p>
        </w:tc>
      </w:tr>
      <w:tr>
        <w:tc>
          <w:tcPr>
            <w:tcW w:type="dxa" w:w="1872"/>
            <w:vAlign w:val="center"/>
            <w:shd w:fill="FFFFFF"/>
            <w:tcMar>
              <w:top w:w="80" w:type="dxa"/>
              <w:bottom w:w="80" w:type="dxa"/>
              <w:left w:w="80" w:type="dxa"/>
              <w:right w:w="80" w:type="dxa"/>
            </w:tcMar>
          </w:tcPr>
          <w:p>
            <w:pPr>
              <w:spacing w:before="40" w:after="40" w:line="276" w:lineRule="auto"/>
              <w:jc w:val="center"/>
            </w:pPr>
            <w:r>
              <w:rPr>
                <w:rFonts w:ascii="Calibri" w:hAnsi="Calibri"/>
                <w:b/>
                <w:color w:val="000000"/>
                <w:sz w:val="26"/>
              </w:rPr>
              <w:t>Doanh thu trên mỗi giờ nghe</w:t>
            </w:r>
          </w:p>
        </w:tc>
        <w:tc>
          <w:tcPr>
            <w:tcW w:type="dxa" w:w="1872"/>
            <w:vAlign w:val="center"/>
            <w:shd w:fill="FFFFFF"/>
            <w:tcMar>
              <w:top w:w="80" w:type="dxa"/>
              <w:bottom w:w="80" w:type="dxa"/>
              <w:left w:w="80" w:type="dxa"/>
              <w:right w:w="80" w:type="dxa"/>
            </w:tcMar>
          </w:tcPr>
          <w:p>
            <w:pPr>
              <w:spacing w:before="40" w:after="40" w:line="276" w:lineRule="auto"/>
              <w:jc w:val="right"/>
            </w:pPr>
            <w:r>
              <w:rPr>
                <w:rFonts w:ascii="Calibri" w:hAnsi="Calibri"/>
                <w:color w:val="000000"/>
                <w:sz w:val="26"/>
              </w:rPr>
              <w:t>0,0111 USD</w:t>
            </w:r>
          </w:p>
        </w:tc>
        <w:tc>
          <w:tcPr>
            <w:tcW w:type="dxa" w:w="1872"/>
            <w:vAlign w:val="center"/>
            <w:shd w:fill="FFFFFF"/>
            <w:tcMar>
              <w:top w:w="80" w:type="dxa"/>
              <w:bottom w:w="80" w:type="dxa"/>
              <w:left w:w="80" w:type="dxa"/>
              <w:right w:w="80" w:type="dxa"/>
            </w:tcMar>
          </w:tcPr>
          <w:p>
            <w:pPr>
              <w:spacing w:before="40" w:after="40" w:line="276" w:lineRule="auto"/>
              <w:jc w:val="right"/>
            </w:pPr>
            <w:r>
              <w:rPr>
                <w:rFonts w:ascii="Calibri" w:hAnsi="Calibri"/>
                <w:color w:val="000000"/>
                <w:sz w:val="26"/>
              </w:rPr>
              <w:t>0,0091 USD</w:t>
            </w:r>
          </w:p>
        </w:tc>
        <w:tc>
          <w:tcPr>
            <w:tcW w:type="dxa" w:w="1872"/>
            <w:vAlign w:val="center"/>
            <w:shd w:fill="FFFFFF"/>
            <w:tcMar>
              <w:top w:w="80" w:type="dxa"/>
              <w:bottom w:w="80" w:type="dxa"/>
              <w:left w:w="80" w:type="dxa"/>
              <w:right w:w="80" w:type="dxa"/>
            </w:tcMar>
          </w:tcPr>
          <w:p>
            <w:pPr>
              <w:spacing w:before="40" w:after="40" w:line="276" w:lineRule="auto"/>
              <w:jc w:val="center"/>
            </w:pPr>
            <w:r>
              <w:rPr>
                <w:rFonts w:ascii="Calibri" w:hAnsi="Calibri"/>
                <w:b/>
                <w:color w:val="000000"/>
                <w:sz w:val="26"/>
              </w:rPr>
              <w:t>-18,2%</w:t>
            </w:r>
          </w:p>
        </w:tc>
        <w:tc>
          <w:tcPr>
            <w:tcW w:type="dxa" w:w="1872"/>
            <w:vAlign w:val="center"/>
            <w:shd w:fill="FFFFFF"/>
            <w:tcMar>
              <w:top w:w="80" w:type="dxa"/>
              <w:bottom w:w="80" w:type="dxa"/>
              <w:left w:w="80" w:type="dxa"/>
              <w:right w:w="80" w:type="dxa"/>
            </w:tcMar>
          </w:tcPr>
          <w:p>
            <w:pPr>
              <w:spacing w:before="40" w:after="40" w:line="276" w:lineRule="auto"/>
              <w:jc w:val="left"/>
            </w:pPr>
            <w:r>
              <w:rPr>
                <w:rFonts w:ascii="Calibri" w:hAnsi="Calibri"/>
                <w:color w:val="000000"/>
                <w:sz w:val="26"/>
              </w:rPr>
              <w:t>Hiệu suất khai thác doanh thu/giờ giảm</w:t>
            </w:r>
          </w:p>
        </w:tc>
      </w:tr>
      <w:tr>
        <w:tc>
          <w:tcPr>
            <w:tcW w:type="dxa" w:w="1872"/>
            <w:vAlign w:val="center"/>
            <w:shd w:fill="FFFFFF"/>
            <w:tcMar>
              <w:top w:w="80" w:type="dxa"/>
              <w:bottom w:w="80" w:type="dxa"/>
              <w:left w:w="80" w:type="dxa"/>
              <w:right w:w="80" w:type="dxa"/>
            </w:tcMar>
          </w:tcPr>
          <w:p>
            <w:pPr>
              <w:spacing w:before="40" w:after="40" w:line="276" w:lineRule="auto"/>
              <w:jc w:val="center"/>
            </w:pPr>
            <w:r>
              <w:rPr>
                <w:rFonts w:ascii="Calibri" w:hAnsi="Calibri"/>
                <w:b/>
                <w:color w:val="000000"/>
                <w:sz w:val="26"/>
              </w:rPr>
              <w:t>Doanh thu trung bình / User (ARPU)</w:t>
            </w:r>
          </w:p>
        </w:tc>
        <w:tc>
          <w:tcPr>
            <w:tcW w:type="dxa" w:w="1872"/>
            <w:vAlign w:val="center"/>
            <w:shd w:fill="FFFFFF"/>
            <w:tcMar>
              <w:top w:w="80" w:type="dxa"/>
              <w:bottom w:w="80" w:type="dxa"/>
              <w:left w:w="80" w:type="dxa"/>
              <w:right w:w="80" w:type="dxa"/>
            </w:tcMar>
          </w:tcPr>
          <w:p>
            <w:pPr>
              <w:spacing w:before="40" w:after="40" w:line="276" w:lineRule="auto"/>
              <w:jc w:val="right"/>
            </w:pPr>
            <w:r>
              <w:rPr>
                <w:rFonts w:ascii="Calibri" w:hAnsi="Calibri"/>
                <w:color w:val="000000"/>
                <w:sz w:val="26"/>
              </w:rPr>
              <w:t>0,50 USD</w:t>
            </w:r>
          </w:p>
        </w:tc>
        <w:tc>
          <w:tcPr>
            <w:tcW w:type="dxa" w:w="1872"/>
            <w:vAlign w:val="center"/>
            <w:shd w:fill="FFFFFF"/>
            <w:tcMar>
              <w:top w:w="80" w:type="dxa"/>
              <w:bottom w:w="80" w:type="dxa"/>
              <w:left w:w="80" w:type="dxa"/>
              <w:right w:w="80" w:type="dxa"/>
            </w:tcMar>
          </w:tcPr>
          <w:p>
            <w:pPr>
              <w:spacing w:before="40" w:after="40" w:line="276" w:lineRule="auto"/>
              <w:jc w:val="right"/>
            </w:pPr>
            <w:r>
              <w:rPr>
                <w:rFonts w:ascii="Calibri" w:hAnsi="Calibri"/>
                <w:color w:val="000000"/>
                <w:sz w:val="26"/>
              </w:rPr>
              <w:t>0,27 USD</w:t>
            </w:r>
          </w:p>
        </w:tc>
        <w:tc>
          <w:tcPr>
            <w:tcW w:type="dxa" w:w="1872"/>
            <w:vAlign w:val="center"/>
            <w:shd w:fill="FFFFFF"/>
            <w:tcMar>
              <w:top w:w="80" w:type="dxa"/>
              <w:bottom w:w="80" w:type="dxa"/>
              <w:left w:w="80" w:type="dxa"/>
              <w:right w:w="80" w:type="dxa"/>
            </w:tcMar>
          </w:tcPr>
          <w:p>
            <w:pPr>
              <w:spacing w:before="40" w:after="40" w:line="276" w:lineRule="auto"/>
              <w:jc w:val="center"/>
            </w:pPr>
            <w:r>
              <w:rPr>
                <w:rFonts w:ascii="Calibri" w:hAnsi="Calibri"/>
                <w:b/>
                <w:color w:val="000000"/>
                <w:sz w:val="26"/>
              </w:rPr>
              <w:t>-45,5%</w:t>
            </w:r>
          </w:p>
        </w:tc>
        <w:tc>
          <w:tcPr>
            <w:tcW w:type="dxa" w:w="1872"/>
            <w:vAlign w:val="center"/>
            <w:shd w:fill="FFFFFF"/>
            <w:tcMar>
              <w:top w:w="80" w:type="dxa"/>
              <w:bottom w:w="80" w:type="dxa"/>
              <w:left w:w="80" w:type="dxa"/>
              <w:right w:w="80" w:type="dxa"/>
            </w:tcMar>
          </w:tcPr>
          <w:p>
            <w:pPr>
              <w:spacing w:before="40" w:after="40" w:line="276" w:lineRule="auto"/>
              <w:jc w:val="left"/>
            </w:pPr>
            <w:r>
              <w:rPr>
                <w:rFonts w:ascii="Calibri" w:hAnsi="Calibri"/>
                <w:color w:val="000000"/>
                <w:sz w:val="26"/>
              </w:rPr>
              <w:t>Giá trị trung bình của mỗi user giảm sâu</w:t>
            </w:r>
          </w:p>
        </w:tc>
      </w:tr>
    </w:tbl>
    <w:p>
      <w:pPr>
        <w:spacing w:after="120"/>
      </w:pPr>
    </w:p>
    <w:p>
      <w:pPr>
        <w:keepNext/>
        <w:spacing w:before="240" w:after="80" w:line="276" w:lineRule="auto"/>
      </w:pPr>
      <w:r>
        <w:rPr>
          <w:rFonts w:ascii="Calibri" w:hAnsi="Calibri"/>
          <w:b/>
          <w:color w:val="000000"/>
          <w:sz w:val="26"/>
        </w:rPr>
        <w:t>4. KẾT LUẬN &amp; BÀI HỌC VỀ BUSINESS INTELLIGENCE</w:t>
      </w:r>
    </w:p>
    <w:p>
      <w:pPr>
        <w:spacing w:line="276" w:lineRule="auto" w:after="120"/>
      </w:pPr>
      <w:r>
        <w:rPr>
          <w:color w:val="000000"/>
          <w:sz w:val="26"/>
        </w:rPr>
        <w:t>Nghịch lý "User tăng nhưng doanh thu giảm" tại Spotify cho thấy tăng trưởng quy mô (số lượng người dùng) không đồng nghĩa với tăng trưởng doanh thu nếu không kiểm soát chất lượng trải nghiệm. Bằng cách phân rã cây KPI và theo dõi sát sao Skip Rate như một Leading Indicator, Spotify có thể chủ động chuyển hóa thách thức thành cơ hội: vừa bảo toàn doanh thu quảng cáo thông qua các quy tắc Non-skippable hợp lý, vừa mở rộng tệp thuê bao trả phí Premium bền vững.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