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color w:val="000000"/>
          <w:sz w:val="26"/>
        </w:rPr>
        <w:t>BÁO CÁO PHÂN TÍCH THỰC HÀNH</w:t>
      </w:r>
    </w:p>
    <w:p>
      <w:pPr>
        <w:spacing w:before="0" w:after="240" w:line="276" w:lineRule="auto"/>
        <w:jc w:val="center"/>
      </w:pPr>
      <w:r>
        <w:rPr>
          <w:rFonts w:ascii="Calibri" w:hAnsi="Calibri"/>
          <w:b/>
          <w:color w:val="000000"/>
          <w:sz w:val="26"/>
        </w:rPr>
        <w:t>BI301: PHÂN TÍCH RỜI BỎ KHÁCH HÀNG TẠI NETFLIX (BTVN VDCB)</w:t>
      </w:r>
    </w:p>
    <w:p>
      <w:pPr>
        <w:keepNext/>
        <w:spacing w:before="240" w:after="80" w:line="276" w:lineRule="auto"/>
      </w:pPr>
      <w:r>
        <w:rPr>
          <w:rFonts w:ascii="Calibri" w:hAnsi="Calibri"/>
          <w:b/>
          <w:color w:val="000000"/>
          <w:sz w:val="26"/>
        </w:rPr>
        <w:t>1. BỐI CẢNH VÀ TÌNH HUỐNG NGHIÊN CỨU</w:t>
      </w:r>
    </w:p>
    <w:p>
      <w:pPr>
        <w:spacing w:line="276" w:lineRule="auto" w:after="120"/>
      </w:pPr>
      <w:r>
        <w:rPr>
          <w:color w:val="000000"/>
          <w:sz w:val="26"/>
        </w:rPr>
        <w:t>Netflix là nền tảng xem video trực tuyến hàng đầu thế giới vận hành theo mô hình thuê bao định kỳ (Subscription Model). Trong mô hình này, việc giữ chân người dùng hiện hữu (Customer Retention) mang ý nghĩa sống còn đối với dòng tiền và giá trị vòng đời khách hàng (LTV). Gần đây, hệ thống ghi nhận tình trạng bất thường tại thị trường Châu Á đối với gói cước Basic: số lượng người dùng hủy dịch vụ gia tăng đột biến, đi kèm với sự sụt giảm của điểm đánh giá độ hài lòng (CSAT).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337"/>
        <w:gridCol w:w="1337"/>
        <w:gridCol w:w="1337"/>
        <w:gridCol w:w="1337"/>
        <w:gridCol w:w="1337"/>
        <w:gridCol w:w="1337"/>
        <w:gridCol w:w="1337"/>
      </w:tblGrid>
      <w:tr>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b/>
                <w:color w:val="000000"/>
                <w:sz w:val="26"/>
              </w:rPr>
              <w:t>Gói</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b/>
                <w:color w:val="000000"/>
                <w:sz w:val="26"/>
              </w:rPr>
              <w:t>Khu Vực</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b/>
                <w:color w:val="000000"/>
                <w:sz w:val="26"/>
              </w:rPr>
              <w:t>Tháng</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b/>
                <w:color w:val="000000"/>
                <w:sz w:val="26"/>
              </w:rPr>
              <w:t>User Active</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b/>
                <w:color w:val="000000"/>
                <w:sz w:val="26"/>
              </w:rPr>
              <w:t>User Hủy (Churn)</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b/>
                <w:color w:val="000000"/>
                <w:sz w:val="26"/>
              </w:rPr>
              <w:t>CSAT</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b/>
                <w:color w:val="000000"/>
                <w:sz w:val="26"/>
              </w:rPr>
              <w:t>Giờ xem TB</w:t>
            </w:r>
          </w:p>
        </w:tc>
      </w:tr>
      <w:tr>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Basic</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Châu Á</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T7</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5.000.000</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200.000</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4.2</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120 giờ</w:t>
            </w:r>
          </w:p>
        </w:tc>
      </w:tr>
      <w:tr>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Basic</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Châu Á</w:t>
            </w:r>
          </w:p>
        </w:tc>
        <w:tc>
          <w:tcPr>
            <w:tcW w:type="dxa" w:w="1337"/>
            <w:vAlign w:val="center"/>
            <w:shd w:fill="FFFFFF"/>
            <w:tcMar>
              <w:top w:w="80" w:type="dxa"/>
              <w:bottom w:w="80" w:type="dxa"/>
              <w:left w:w="90" w:type="dxa"/>
              <w:right w:w="90" w:type="dxa"/>
            </w:tcMar>
          </w:tcPr>
          <w:p>
            <w:pPr>
              <w:spacing w:before="40" w:after="40" w:line="276" w:lineRule="auto"/>
              <w:jc w:val="center"/>
            </w:pPr>
            <w:r>
              <w:rPr>
                <w:rFonts w:ascii="Calibri" w:hAnsi="Calibri"/>
                <w:color w:val="000000"/>
                <w:sz w:val="26"/>
              </w:rPr>
              <w:t>T8</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4.950.000</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250.000</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3.8</w:t>
            </w:r>
          </w:p>
        </w:tc>
        <w:tc>
          <w:tcPr>
            <w:tcW w:type="dxa" w:w="1337"/>
            <w:vAlign w:val="center"/>
            <w:shd w:fill="FFFFFF"/>
            <w:tcMar>
              <w:top w:w="80" w:type="dxa"/>
              <w:bottom w:w="80" w:type="dxa"/>
              <w:left w:w="90" w:type="dxa"/>
              <w:right w:w="90" w:type="dxa"/>
            </w:tcMar>
          </w:tcPr>
          <w:p>
            <w:pPr>
              <w:spacing w:before="40" w:after="40" w:line="276" w:lineRule="auto"/>
              <w:jc w:val="right"/>
            </w:pPr>
            <w:r>
              <w:rPr>
                <w:rFonts w:ascii="Calibri" w:hAnsi="Calibri"/>
                <w:color w:val="000000"/>
                <w:sz w:val="26"/>
              </w:rPr>
              <w:t>110 giờ</w:t>
            </w:r>
          </w:p>
        </w:tc>
      </w:tr>
    </w:tbl>
    <w:p>
      <w:pPr>
        <w:keepNext/>
        <w:spacing w:before="240" w:after="80" w:line="276" w:lineRule="auto"/>
      </w:pPr>
      <w:r>
        <w:rPr>
          <w:rFonts w:ascii="Calibri" w:hAnsi="Calibri"/>
          <w:b/>
          <w:color w:val="000000"/>
          <w:sz w:val="26"/>
        </w:rPr>
        <w:t>2. NHIỆM VỤ 1: TÍNH TOÁN VÀ PHÂN TÍCH TỶ LỆ HỦY (CHURN RATE)</w:t>
      </w:r>
    </w:p>
    <w:p>
      <w:pPr>
        <w:spacing w:line="276" w:lineRule="auto" w:after="80"/>
      </w:pPr>
      <w:r>
        <w:rPr>
          <w:b/>
          <w:color w:val="000000"/>
          <w:sz w:val="26"/>
        </w:rPr>
        <w:t>2.1. Công thức chuẩn hóa:</w:t>
      </w:r>
    </w:p>
    <w:p>
      <w:pPr>
        <w:spacing w:line="276" w:lineRule="auto" w:after="80"/>
        <w:ind w:left="288"/>
      </w:pPr>
      <w:r>
        <w:rPr>
          <w:b/>
          <w:color w:val="000000"/>
          <w:sz w:val="26"/>
        </w:rPr>
        <w:t>Tỷ lệ rời bỏ (Churn Rate) = [Số lượng User Hủy / Số lượng User Active] × 100%</w:t>
      </w:r>
    </w:p>
    <w:p>
      <w:pPr>
        <w:spacing w:line="276" w:lineRule="auto" w:after="60"/>
        <w:ind w:left="288"/>
      </w:pPr>
      <w:r>
        <w:rPr>
          <w:color w:val="000000"/>
          <w:sz w:val="26"/>
        </w:rPr>
        <w:t>• Tính toán cho Tháng 7 (T7):</w:t>
        <w:br/>
        <w:t xml:space="preserve">  Churn Rate (T7) = 200.000 / 5.000.000 = </w:t>
      </w:r>
      <w:r>
        <w:rPr>
          <w:b/>
          <w:color w:val="000000"/>
          <w:sz w:val="26"/>
        </w:rPr>
        <w:t>4,00%</w:t>
      </w:r>
      <w:r>
        <w:rPr>
          <w:color w:val="000000"/>
          <w:sz w:val="26"/>
        </w:rPr>
        <w:t xml:space="preserve"> (Tỷ lệ giữ chân Retention Rate = 96,00%).</w:t>
      </w:r>
    </w:p>
    <w:p>
      <w:pPr>
        <w:spacing w:line="276" w:lineRule="auto" w:after="80"/>
        <w:ind w:left="288"/>
      </w:pPr>
      <w:r>
        <w:rPr>
          <w:color w:val="000000"/>
          <w:sz w:val="26"/>
        </w:rPr>
        <w:t>• Tính toán cho Tháng 8 (T8):</w:t>
        <w:br/>
        <w:t xml:space="preserve">  Churn Rate (T8) = 250.000 / 4.950.000 ≈ </w:t>
      </w:r>
      <w:r>
        <w:rPr>
          <w:b/>
          <w:color w:val="000000"/>
          <w:sz w:val="26"/>
        </w:rPr>
        <w:t>5,05%</w:t>
      </w:r>
      <w:r>
        <w:rPr>
          <w:color w:val="000000"/>
          <w:sz w:val="26"/>
        </w:rPr>
        <w:t xml:space="preserve"> (Tỷ lệ giữ chân Retention Rate = 94,95%).</w:t>
      </w:r>
    </w:p>
    <w:p>
      <w:pPr>
        <w:spacing w:line="276" w:lineRule="auto" w:after="120"/>
      </w:pPr>
      <w:r>
        <w:rPr>
          <w:b/>
          <w:color w:val="000000"/>
          <w:sz w:val="26"/>
        </w:rPr>
        <w:t>2.2. Nhận định chuyên sâu dưới góc độ Giám đốc Chiến lược:</w:t>
        <w:br/>
      </w:r>
      <w:r>
        <w:rPr>
          <w:color w:val="000000"/>
          <w:sz w:val="26"/>
        </w:rPr>
        <w:t>1. Tốc độ tăng trưởng Churn Rate báo động: Churn Rate tăng từ 4,00% lên 5,05%, tăng thêm 1,05 điểm phần trăm. Tốc độ gia tăng tỷ lệ hủy tương đương +26,25% chỉ trong vòng 1 tháng.</w:t>
        <w:br/>
        <w:t>2. Quy mô khách hàng ròng sụt giảm: Lượng người dùng hủy tăng vọt thêm 50.000 tài khoản (từ 200k lên 250k, tăng +25,0%), khiến tổng tệp User Active của gói Basic tại Châu Á bị hao hụt ròng 50.000 tài khoản (-1,0%).</w:t>
        <w:br/>
        <w:t>3. Cảnh báo suy thoái mức độ tương tác: Điểm CSAT giảm từ 4.2 xuống 3.8 (-9,5%) và thời lượng xem trung bình giảm từ 120 giờ xuống 110 giờ (-8,3%). Đây là các tín hiệu cảnh báo sớm (Leading Indicators) cho thấy khách hàng đang thất vọng với trải nghiệm gói Basic (chất lượng đường truyền, độ phân giải video, hoặc thiếu hụt nội dung bản địa phù hợp).</w:t>
      </w:r>
    </w:p>
    <w:p>
      <w:pPr>
        <w:keepNext/>
        <w:spacing w:before="240" w:after="80" w:line="276" w:lineRule="auto"/>
      </w:pPr>
      <w:r>
        <w:rPr>
          <w:rFonts w:ascii="Calibri" w:hAnsi="Calibri"/>
          <w:b/>
          <w:color w:val="000000"/>
          <w:sz w:val="26"/>
        </w:rPr>
        <w:t>3. NHIỆM VỤ 2: PHÂN LOẠI MEASURE VÀ METRIC TRONG TẬP DỮ LIỆU</w:t>
      </w:r>
    </w:p>
    <w:p>
      <w:pPr>
        <w:spacing w:line="276" w:lineRule="auto" w:after="80"/>
      </w:pPr>
      <w:r>
        <w:rPr>
          <w:color w:val="000000"/>
          <w:sz w:val="26"/>
        </w:rPr>
        <w:t>Trong Business Intelligence, việc phân tách rạch ròi giữa Measure (Thước đo thô) và Metric (Chỉ số đo lường) là nền tảng để xây dựng hệ thống dữ liệu chuẩn xác:</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Tên Chỉ Số</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Phân Loại</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b/>
                <w:color w:val="000000"/>
                <w:sz w:val="26"/>
              </w:rPr>
              <w:t>Bản Chất Dữ Liệu</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b/>
                <w:color w:val="000000"/>
                <w:sz w:val="26"/>
              </w:rPr>
              <w:t>Công Thức / Cách Đo Lường</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Đơn Vị Tính</w:t>
            </w:r>
          </w:p>
        </w:tc>
      </w:tr>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User Active</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Measure</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Thước đo thô, giá trị đếm số lượng tài khoản thực tế.</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Tổng số tài khoản gói Basic phát sinh hoạt động trong tháng.</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Tài khoản (Users)</w:t>
            </w:r>
          </w:p>
        </w:tc>
      </w:tr>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User Hủy (Churn)</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Measure</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Thước đo thô, giá trị đếm số lượng hợp đồng chấm dứt.</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Tổng số tài khoản xác nhận hủy gói trong tháng.</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Tài khoản (Users)</w:t>
            </w:r>
          </w:p>
        </w:tc>
      </w:tr>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Churn Rate</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Metric</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Chỉ số tương đối tính toán từ 2 Measures.</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 (User Hủy / User Active) × 100%</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Phần trăm (%)</w:t>
            </w:r>
          </w:p>
        </w:tc>
      </w:tr>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CSAT</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Metric</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Chỉ số đo lường tổng hợp phản ánh mức độ hài lòng.</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Tổng điểm đánh giá khảo sát / Tổng số lượt phản hồi.</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Điểm (Thang 1-5)</w:t>
            </w:r>
          </w:p>
        </w:tc>
      </w:tr>
      <w:tr>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Giờ xem TB</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b/>
                <w:color w:val="000000"/>
                <w:sz w:val="26"/>
              </w:rPr>
              <w:t>Metric</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Chỉ số đo lường trung bình phản ánh mức độ gắn kết.</w:t>
            </w:r>
          </w:p>
        </w:tc>
        <w:tc>
          <w:tcPr>
            <w:tcW w:type="dxa" w:w="1872"/>
            <w:vAlign w:val="center"/>
            <w:shd w:fill="FFFFFF"/>
            <w:tcMar>
              <w:top w:w="70" w:type="dxa"/>
              <w:bottom w:w="70" w:type="dxa"/>
              <w:left w:w="80" w:type="dxa"/>
              <w:right w:w="80" w:type="dxa"/>
            </w:tcMar>
          </w:tcPr>
          <w:p>
            <w:pPr>
              <w:spacing w:before="40" w:after="40" w:line="276" w:lineRule="auto"/>
              <w:jc w:val="left"/>
            </w:pPr>
            <w:r>
              <w:rPr>
                <w:rFonts w:ascii="Calibri" w:hAnsi="Calibri"/>
                <w:color w:val="000000"/>
                <w:sz w:val="26"/>
              </w:rPr>
              <w:t>Tổng thời lượng xem toàn hệ thống / Tổng số User Active.</w:t>
            </w:r>
          </w:p>
        </w:tc>
        <w:tc>
          <w:tcPr>
            <w:tcW w:type="dxa" w:w="1872"/>
            <w:vAlign w:val="center"/>
            <w:shd w:fill="FFFFFF"/>
            <w:tcMar>
              <w:top w:w="70" w:type="dxa"/>
              <w:bottom w:w="70" w:type="dxa"/>
              <w:left w:w="80" w:type="dxa"/>
              <w:right w:w="80" w:type="dxa"/>
            </w:tcMar>
          </w:tcPr>
          <w:p>
            <w:pPr>
              <w:spacing w:before="40" w:after="40" w:line="276" w:lineRule="auto"/>
              <w:jc w:val="center"/>
            </w:pPr>
            <w:r>
              <w:rPr>
                <w:rFonts w:ascii="Calibri" w:hAnsi="Calibri"/>
                <w:color w:val="000000"/>
                <w:sz w:val="26"/>
              </w:rPr>
              <w:t>Giờ/User/Tháng</w:t>
            </w:r>
          </w:p>
        </w:tc>
      </w:tr>
    </w:tbl>
    <w:p>
      <w:pPr>
        <w:keepNext/>
        <w:spacing w:before="240" w:after="80" w:line="276" w:lineRule="auto"/>
      </w:pPr>
      <w:r>
        <w:rPr>
          <w:rFonts w:ascii="Calibri" w:hAnsi="Calibri"/>
          <w:b/>
          <w:color w:val="000000"/>
          <w:sz w:val="26"/>
        </w:rPr>
        <w:t>4. THIẾT KẾ CÂY CHỈ SỐ (KPI TREE) PHỤC VỤ ĐIỀU HÀNH</w:t>
      </w:r>
    </w:p>
    <w:p>
      <w:pPr>
        <w:spacing w:line="276" w:lineRule="auto" w:after="80"/>
      </w:pPr>
      <w:r>
        <w:rPr>
          <w:color w:val="000000"/>
          <w:sz w:val="26"/>
        </w:rPr>
        <w:t>Cây chỉ số phân rã mục tiêu Tăng trưởng Khách hàng Ròng (Net Subscriber Growth) của gói Basic tại Châu Á:</w:t>
      </w:r>
    </w:p>
    <w:p>
      <w:pPr>
        <w:spacing w:line="276" w:lineRule="auto" w:after="120"/>
        <w:ind w:left="288"/>
      </w:pPr>
      <w:r>
        <w:rPr>
          <w:rFonts w:ascii="Consolas" w:hAnsi="Consolas"/>
          <w:color w:val="000000"/>
          <w:sz w:val="26"/>
        </w:rPr>
        <w:t>[TỔNG USER ACTIVE CUỐI KỲ (T8: 4,95M - GIẢM 1%)]</w:t>
        <w:br/>
        <w:t xml:space="preserve">  |-- Nhánh 1: USER ACTIVE ĐẦU KỲ (T7: 5,00M)</w:t>
        <w:br/>
        <w:t xml:space="preserve">  |-- Nhánh 2: USER MỚI GIA NHẬP (New Subscribers)</w:t>
        <w:br/>
        <w:t xml:space="preserve">  \-- Nhánh 3: TỔNG USER RỜI BỎ (Churn Users: 250k - TĂNG 25%) [BÁO ĐỘNG]</w:t>
        <w:br/>
        <w:t xml:space="preserve">         |-- [LAGGING] TỶ LỆ HỦY (Churn Rate: 4,0% -&gt; 5,05%)</w:t>
        <w:br/>
        <w:t xml:space="preserve">         \-- [LEADING] CÁC CHỈ BÁO NGUYÊN NHÂN SỚM:</w:t>
        <w:br/>
        <w:t xml:space="preserve">                |-- Điểm CSAT (4.2 -&gt; 3.8 điểm, Suy giảm hài lòng)</w:t>
        <w:br/>
        <w:t xml:space="preserve">                \-- Giờ xem TB (120h -&gt; 110h, Suy giảm gắn kết kho phim)</w:t>
      </w:r>
    </w:p>
    <w:p>
      <w:pPr>
        <w:keepNext/>
        <w:spacing w:before="240" w:after="80" w:line="276" w:lineRule="auto"/>
      </w:pPr>
      <w:r>
        <w:rPr>
          <w:rFonts w:ascii="Calibri" w:hAnsi="Calibri"/>
          <w:b/>
          <w:color w:val="000000"/>
          <w:sz w:val="26"/>
        </w:rPr>
        <w:t>5. KHUYẾN NGHỊ HÀNH ĐỘNG CHIẾN LƯỢC</w:t>
      </w:r>
    </w:p>
    <w:p>
      <w:pPr>
        <w:spacing w:line="276" w:lineRule="auto" w:after="120"/>
      </w:pPr>
      <w:r>
        <w:rPr>
          <w:color w:val="000000"/>
          <w:sz w:val="26"/>
        </w:rPr>
        <w:t>1. Điều tra nguyên nhân sụt giảm CSAT: Triển khai ngay bảng khảo sát lý do hủy (Exit Survey) tại thời điểm khách hàng bấm nút Cancel gói Basic tại Châu Á (tập trung vào giá cước, chất lượng hiển thị 720p vs 1080p, hoặc vấn đề chia sẻ tài khoản).</w:t>
        <w:br/>
        <w:t>2. Kích hoạt chiến dịch giữ chân tự động (Retention Campaigns): Khi người dùng có số giờ xem trong tuần giảm quá 30% so với mức trung bình, hệ thống thuật toán tự động gửi email đề xuất nội dung cá nhân hóa (Top Trending nội dung địa phương) hoặc cung cấp ưu đãi nâng cấp lên gói Standard.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