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nsdcn729tdoc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Phần 1: Phân tích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Hành động của An vi phạm vì;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1.Dùng chế độ Anyone with the link: Mở công khai đường dẫn cho bất kỳ ai, dẫn đến việc link bị trôi lên mạng xã hội và gây rò rỉ dữ liệu khách hàng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2.Cấp quyền Editor cho người ngoài: Trao toàn quyền chỉnh sửa và xóa dữ liệu nhạy cảm cho người lạ mà không có cơ chế kiểm soát.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6sayxfd0mbgo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Phần 2: Thiết lập cấu trúc phân quyền chuẩn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Mức quyền cho cộng tác viên: Editor hoặc Commenter/Viewer (nếu chỉ cần xem và góp ý).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2.Chế độ chia sẻ an toàn: Chia sẻ trực tiếp theo Email cụ thể (Restricted/Specific people), tuyệt đối không dùng chế độ công khai đối với dữ liệu nhạy cảm.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3.Tính năng cần bật: Bật tùy chọn "Prevent editors from changing access and sharing" để chặn cộng tác viên tự ý mời thêm người lạ vào tài liệu.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