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BÁO CÁO ĐÁNH GIÁ VÀ SO SÁNH CƠ SỞ DỮ LIỆU SQL VÀ NoSQL</w:t>
      </w:r>
    </w:p>
    <w:p>
      <w:r>
        <w:rPr>
          <w:rFonts w:ascii="Times New Roman" w:hAnsi="Times New Roman"/>
          <w:b/>
          <w:sz w:val="28"/>
        </w:rPr>
        <w:t>1. CÂU HỎI NGHIÊN CỨU VÀ CHIẾN LƯỢC TÌM KIẾM</w:t>
      </w:r>
    </w:p>
    <w:p>
      <w:r>
        <w:rPr>
          <w:rFonts w:ascii="Times New Roman" w:hAnsi="Times New Roman"/>
          <w:b/>
          <w:sz w:val="24"/>
        </w:rPr>
        <w:t>1.1. Câu hỏi nghiên cứu</w:t>
      </w:r>
    </w:p>
    <w:p>
      <w:r>
        <w:rPr>
          <w:rFonts w:ascii="Times New Roman" w:hAnsi="Times New Roman"/>
          <w:b w:val="0"/>
          <w:i w:val="0"/>
          <w:sz w:val="24"/>
        </w:rPr>
        <w:t>“Ưu điểm, nhược điểm và sự khác biệt cốt lõi giữa cơ sở dữ liệu SQL và NoSQL trong việc xử lý dữ liệu lớn (Big Data) và khả năng mở rộng hệ thống IT là gì? Khả năng duy trì tính nhất quán dữ liệu của mỗi loại hệ thống ra sao?”</w:t>
      </w:r>
    </w:p>
    <w:p>
      <w:r>
        <w:rPr>
          <w:rFonts w:ascii="Times New Roman" w:hAnsi="Times New Roman"/>
          <w:b/>
          <w:sz w:val="24"/>
        </w:rPr>
        <w:t>1.2. Từ khóa tìm kiếm (Search Keywords)</w:t>
      </w:r>
    </w:p>
    <w:p>
      <w:r>
        <w:rPr>
          <w:rFonts w:ascii="Times New Roman" w:hAnsi="Times New Roman"/>
          <w:b w:val="0"/>
          <w:i w:val="0"/>
          <w:sz w:val="24"/>
        </w:rPr>
        <w:t>• SQL vs NoSQL comparison big data</w:t>
      </w:r>
    </w:p>
    <w:p>
      <w:r>
        <w:rPr>
          <w:rFonts w:ascii="Times New Roman" w:hAnsi="Times New Roman"/>
          <w:b w:val="0"/>
          <w:i w:val="0"/>
          <w:sz w:val="24"/>
        </w:rPr>
        <w:t>• database scalability SQL NoSQL IT systems</w:t>
      </w:r>
    </w:p>
    <w:p>
      <w:r>
        <w:rPr>
          <w:rFonts w:ascii="Times New Roman" w:hAnsi="Times New Roman"/>
          <w:b w:val="0"/>
          <w:i w:val="0"/>
          <w:sz w:val="24"/>
        </w:rPr>
        <w:t>• ACID vs BASE data consistency</w:t>
      </w:r>
    </w:p>
    <w:p>
      <w:r>
        <w:rPr>
          <w:rFonts w:ascii="Times New Roman" w:hAnsi="Times New Roman"/>
          <w:b w:val="0"/>
          <w:i w:val="0"/>
          <w:sz w:val="24"/>
        </w:rPr>
        <w:t>• SQL vs NoSQL performance metrics</w:t>
      </w:r>
    </w:p>
    <w:p>
      <w:r>
        <w:rPr>
          <w:rFonts w:ascii="Times New Roman" w:hAnsi="Times New Roman"/>
          <w:b/>
          <w:sz w:val="24"/>
        </w:rPr>
        <w:t>1.3. Công cụ và cú pháp/toán tử tìm kiếm</w:t>
      </w:r>
    </w:p>
    <w:p>
      <w:r>
        <w:rPr>
          <w:rFonts w:ascii="Times New Roman" w:hAnsi="Times New Roman"/>
          <w:b w:val="0"/>
          <w:i w:val="0"/>
          <w:sz w:val="24"/>
        </w:rPr>
        <w:t>Công cụ tìm kiếm: Google Search, Google Scholar, tài liệu kỹ thuật chính thức của các nhà cung cấp cơ sở dữ liệu, Stack Overflow và các blog/nghiên cứu ngành.</w:t>
      </w:r>
    </w:p>
    <w:p>
      <w:r>
        <w:rPr>
          <w:rFonts w:ascii="Times New Roman" w:hAnsi="Times New Roman"/>
          <w:b w:val="0"/>
          <w:i w:val="0"/>
          <w:sz w:val="24"/>
        </w:rPr>
        <w:t>Các truy vấn/toán tử đã sử dụng:</w:t>
      </w:r>
    </w:p>
    <w:p>
      <w:r>
        <w:rPr>
          <w:rFonts w:ascii="Times New Roman" w:hAnsi="Times New Roman"/>
          <w:b w:val="0"/>
          <w:i w:val="0"/>
          <w:sz w:val="24"/>
        </w:rPr>
        <w:t>• SQL vs NoSQL scalability filetype:pdf – dùng filetype:pdf để tìm báo cáo/bài báo dạng PDF.</w:t>
      </w:r>
    </w:p>
    <w:p>
      <w:r>
        <w:rPr>
          <w:rFonts w:ascii="Times New Roman" w:hAnsi="Times New Roman"/>
          <w:b w:val="0"/>
          <w:i w:val="0"/>
          <w:sz w:val="24"/>
        </w:rPr>
        <w:t>• "SQL vs NoSQL" AND "data consistency" – dùng ngoặc kép để tìm cụm từ chính xác và AND để kết hợp tiêu chí.</w:t>
      </w:r>
    </w:p>
    <w:p>
      <w:r>
        <w:rPr>
          <w:rFonts w:ascii="Times New Roman" w:hAnsi="Times New Roman"/>
          <w:b w:val="0"/>
          <w:i w:val="0"/>
          <w:sz w:val="24"/>
        </w:rPr>
        <w:t>• site:mongodb.com "SQL vs NoSQL" – giới hạn kết quả trong miền tài liệu của MongoDB để tham khảo góc nhìn của nhà cung cấp.</w:t>
      </w:r>
    </w:p>
    <w:p>
      <w:r>
        <w:rPr>
          <w:rFonts w:ascii="Times New Roman" w:hAnsi="Times New Roman"/>
          <w:b/>
          <w:sz w:val="28"/>
        </w:rPr>
        <w:t>2. BẢNG ĐÁNH GIÁ NGUỒN THÔNG TIN THEO BÀI KIỂM TRA CRAAP</w:t>
      </w:r>
    </w:p>
    <w:p>
      <w:r>
        <w:rPr>
          <w:rFonts w:ascii="Times New Roman" w:hAnsi="Times New Roman"/>
          <w:b w:val="0"/>
          <w:i w:val="0"/>
          <w:sz w:val="24"/>
        </w:rPr>
        <w:t>CRAAP gồm 5 tiêu chí: Currency (Tính thời sự), Relevance (Tính liên quan), Authority (Tính uy quyền), Accuracy (Tính chính xác) và Purpose (Mục đích). Các tiêu chí được dùng như bước sàng lọc ban đầu để xem nguồn có phù hợp với câu hỏi nghiên cứu hay không.</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Pr>
          <w:p>
            <w:r/>
            <w:r>
              <w:rPr>
                <w:rFonts w:ascii="Times New Roman" w:hAnsi="Times New Roman"/>
                <w:b/>
                <w:sz w:val="20"/>
              </w:rPr>
              <w:t>STT</w:t>
            </w:r>
          </w:p>
        </w:tc>
        <w:tc>
          <w:tcPr>
            <w:tcW w:type="dxa" w:w="1419"/>
            <w:vAlign w:val="center"/>
          </w:tcPr>
          <w:p>
            <w:r/>
            <w:r>
              <w:rPr>
                <w:rFonts w:ascii="Times New Roman" w:hAnsi="Times New Roman"/>
                <w:b/>
                <w:sz w:val="20"/>
              </w:rPr>
              <w:t>Nguồn tài liệu</w:t>
            </w:r>
          </w:p>
        </w:tc>
        <w:tc>
          <w:tcPr>
            <w:tcW w:type="dxa" w:w="1419"/>
            <w:vAlign w:val="center"/>
          </w:tcPr>
          <w:p>
            <w:r/>
            <w:r>
              <w:rPr>
                <w:rFonts w:ascii="Times New Roman" w:hAnsi="Times New Roman"/>
                <w:b/>
                <w:sz w:val="20"/>
              </w:rPr>
              <w:t>C</w:t>
            </w:r>
          </w:p>
        </w:tc>
        <w:tc>
          <w:tcPr>
            <w:tcW w:type="dxa" w:w="1419"/>
            <w:vAlign w:val="center"/>
          </w:tcPr>
          <w:p>
            <w:r/>
            <w:r>
              <w:rPr>
                <w:rFonts w:ascii="Times New Roman" w:hAnsi="Times New Roman"/>
                <w:b/>
                <w:sz w:val="20"/>
              </w:rPr>
              <w:t>R</w:t>
            </w:r>
          </w:p>
        </w:tc>
        <w:tc>
          <w:tcPr>
            <w:tcW w:type="dxa" w:w="1419"/>
            <w:vAlign w:val="center"/>
          </w:tcPr>
          <w:p>
            <w:r/>
            <w:r>
              <w:rPr>
                <w:rFonts w:ascii="Times New Roman" w:hAnsi="Times New Roman"/>
                <w:b/>
                <w:sz w:val="20"/>
              </w:rPr>
              <w:t>A</w:t>
            </w:r>
          </w:p>
        </w:tc>
        <w:tc>
          <w:tcPr>
            <w:tcW w:type="dxa" w:w="1419"/>
            <w:vAlign w:val="center"/>
          </w:tcPr>
          <w:p>
            <w:r/>
            <w:r>
              <w:rPr>
                <w:rFonts w:ascii="Times New Roman" w:hAnsi="Times New Roman"/>
                <w:b/>
                <w:sz w:val="20"/>
              </w:rPr>
              <w:t>A</w:t>
            </w:r>
          </w:p>
        </w:tc>
        <w:tc>
          <w:tcPr>
            <w:tcW w:type="dxa" w:w="1419"/>
            <w:vAlign w:val="center"/>
          </w:tcPr>
          <w:p>
            <w:r/>
            <w:r>
              <w:rPr>
                <w:rFonts w:ascii="Times New Roman" w:hAnsi="Times New Roman"/>
                <w:b/>
                <w:sz w:val="20"/>
              </w:rPr>
              <w:t>P</w:t>
            </w:r>
          </w:p>
        </w:tc>
      </w:tr>
      <w:tr>
        <w:tc>
          <w:tcPr>
            <w:tcW w:type="dxa" w:w="1419"/>
            <w:vAlign w:val="center"/>
          </w:tcPr>
          <w:p>
            <w:r/>
            <w:r>
              <w:rPr>
                <w:rFonts w:ascii="Times New Roman" w:hAnsi="Times New Roman"/>
                <w:b w:val="0"/>
                <w:sz w:val="20"/>
              </w:rPr>
              <w:t>1</w:t>
            </w:r>
          </w:p>
        </w:tc>
        <w:tc>
          <w:tcPr>
            <w:tcW w:type="dxa" w:w="1419"/>
            <w:vAlign w:val="center"/>
          </w:tcPr>
          <w:p>
            <w:r/>
            <w:r>
              <w:rPr>
                <w:rFonts w:ascii="Times New Roman" w:hAnsi="Times New Roman"/>
                <w:b w:val="0"/>
                <w:sz w:val="20"/>
              </w:rPr>
              <w:t>Bài báo học thuật về Performance Analysis of SQL and NoSQL Databases for Big Data Applications (IEEE, 2023)</w:t>
            </w:r>
          </w:p>
        </w:tc>
        <w:tc>
          <w:tcPr>
            <w:tcW w:type="dxa" w:w="1419"/>
            <w:vAlign w:val="center"/>
          </w:tcPr>
          <w:p>
            <w:r/>
            <w:r>
              <w:rPr>
                <w:rFonts w:ascii="Times New Roman" w:hAnsi="Times New Roman"/>
                <w:b w:val="0"/>
                <w:sz w:val="20"/>
              </w:rPr>
              <w:t>5</w:t>
            </w:r>
          </w:p>
        </w:tc>
        <w:tc>
          <w:tcPr>
            <w:tcW w:type="dxa" w:w="1419"/>
            <w:vAlign w:val="center"/>
          </w:tcPr>
          <w:p>
            <w:r/>
            <w:r>
              <w:rPr>
                <w:rFonts w:ascii="Times New Roman" w:hAnsi="Times New Roman"/>
                <w:b w:val="0"/>
                <w:sz w:val="20"/>
              </w:rPr>
              <w:t>5</w:t>
            </w:r>
          </w:p>
        </w:tc>
        <w:tc>
          <w:tcPr>
            <w:tcW w:type="dxa" w:w="1419"/>
            <w:vAlign w:val="center"/>
          </w:tcPr>
          <w:p>
            <w:r/>
            <w:r>
              <w:rPr>
                <w:rFonts w:ascii="Times New Roman" w:hAnsi="Times New Roman"/>
                <w:b w:val="0"/>
                <w:sz w:val="20"/>
              </w:rPr>
              <w:t>5</w:t>
            </w:r>
          </w:p>
        </w:tc>
        <w:tc>
          <w:tcPr>
            <w:tcW w:type="dxa" w:w="1419"/>
            <w:vAlign w:val="center"/>
          </w:tcPr>
          <w:p>
            <w:r/>
            <w:r>
              <w:rPr>
                <w:rFonts w:ascii="Times New Roman" w:hAnsi="Times New Roman"/>
                <w:b w:val="0"/>
                <w:sz w:val="20"/>
              </w:rPr>
              <w:t>5</w:t>
            </w:r>
          </w:p>
        </w:tc>
        <w:tc>
          <w:tcPr>
            <w:tcW w:type="dxa" w:w="1419"/>
            <w:vAlign w:val="center"/>
          </w:tcPr>
          <w:p>
            <w:r/>
            <w:r>
              <w:rPr>
                <w:rFonts w:ascii="Times New Roman" w:hAnsi="Times New Roman"/>
                <w:b w:val="0"/>
                <w:sz w:val="20"/>
              </w:rPr>
              <w:t>5</w:t>
            </w:r>
          </w:p>
        </w:tc>
      </w:tr>
      <w:tr>
        <w:tc>
          <w:tcPr>
            <w:tcW w:type="dxa" w:w="1419"/>
            <w:vAlign w:val="center"/>
          </w:tcPr>
          <w:p>
            <w:r/>
            <w:r>
              <w:rPr>
                <w:rFonts w:ascii="Times New Roman" w:hAnsi="Times New Roman"/>
                <w:b w:val="0"/>
                <w:sz w:val="20"/>
              </w:rPr>
              <w:t>2</w:t>
            </w:r>
          </w:p>
        </w:tc>
        <w:tc>
          <w:tcPr>
            <w:tcW w:type="dxa" w:w="1419"/>
            <w:vAlign w:val="center"/>
          </w:tcPr>
          <w:p>
            <w:r/>
            <w:r>
              <w:rPr>
                <w:rFonts w:ascii="Times New Roman" w:hAnsi="Times New Roman"/>
                <w:b w:val="0"/>
                <w:sz w:val="20"/>
              </w:rPr>
              <w:t>MongoDB Documentation – NoSQL Databases Explained</w:t>
            </w:r>
          </w:p>
        </w:tc>
        <w:tc>
          <w:tcPr>
            <w:tcW w:type="dxa" w:w="1419"/>
            <w:vAlign w:val="center"/>
          </w:tcPr>
          <w:p>
            <w:r/>
            <w:r>
              <w:rPr>
                <w:rFonts w:ascii="Times New Roman" w:hAnsi="Times New Roman"/>
                <w:b w:val="0"/>
                <w:sz w:val="20"/>
              </w:rPr>
              <w:t>5</w:t>
            </w:r>
          </w:p>
        </w:tc>
        <w:tc>
          <w:tcPr>
            <w:tcW w:type="dxa" w:w="1419"/>
            <w:vAlign w:val="center"/>
          </w:tcPr>
          <w:p>
            <w:r/>
            <w:r>
              <w:rPr>
                <w:rFonts w:ascii="Times New Roman" w:hAnsi="Times New Roman"/>
                <w:b w:val="0"/>
                <w:sz w:val="20"/>
              </w:rPr>
              <w:t>5</w:t>
            </w:r>
          </w:p>
        </w:tc>
        <w:tc>
          <w:tcPr>
            <w:tcW w:type="dxa" w:w="1419"/>
            <w:vAlign w:val="center"/>
          </w:tcPr>
          <w:p>
            <w:r/>
            <w:r>
              <w:rPr>
                <w:rFonts w:ascii="Times New Roman" w:hAnsi="Times New Roman"/>
                <w:b w:val="0"/>
                <w:sz w:val="20"/>
              </w:rPr>
              <w:t>4</w:t>
            </w:r>
          </w:p>
        </w:tc>
        <w:tc>
          <w:tcPr>
            <w:tcW w:type="dxa" w:w="1419"/>
            <w:vAlign w:val="center"/>
          </w:tcPr>
          <w:p>
            <w:r/>
            <w:r>
              <w:rPr>
                <w:rFonts w:ascii="Times New Roman" w:hAnsi="Times New Roman"/>
                <w:b w:val="0"/>
                <w:sz w:val="20"/>
              </w:rPr>
              <w:t>4</w:t>
            </w:r>
          </w:p>
        </w:tc>
        <w:tc>
          <w:tcPr>
            <w:tcW w:type="dxa" w:w="1419"/>
            <w:vAlign w:val="center"/>
          </w:tcPr>
          <w:p>
            <w:r/>
            <w:r>
              <w:rPr>
                <w:rFonts w:ascii="Times New Roman" w:hAnsi="Times New Roman"/>
                <w:b w:val="0"/>
                <w:sz w:val="20"/>
              </w:rPr>
              <w:t>3</w:t>
            </w:r>
          </w:p>
        </w:tc>
      </w:tr>
      <w:tr>
        <w:tc>
          <w:tcPr>
            <w:tcW w:type="dxa" w:w="1419"/>
            <w:vAlign w:val="center"/>
          </w:tcPr>
          <w:p>
            <w:r/>
            <w:r>
              <w:rPr>
                <w:rFonts w:ascii="Times New Roman" w:hAnsi="Times New Roman"/>
                <w:b w:val="0"/>
                <w:sz w:val="20"/>
              </w:rPr>
              <w:t>3</w:t>
            </w:r>
          </w:p>
        </w:tc>
        <w:tc>
          <w:tcPr>
            <w:tcW w:type="dxa" w:w="1419"/>
            <w:vAlign w:val="center"/>
          </w:tcPr>
          <w:p>
            <w:r/>
            <w:r>
              <w:rPr>
                <w:rFonts w:ascii="Times New Roman" w:hAnsi="Times New Roman"/>
                <w:b w:val="0"/>
                <w:sz w:val="20"/>
              </w:rPr>
              <w:t>AWS – Relational vs. Non-Relational Databases</w:t>
            </w:r>
          </w:p>
        </w:tc>
        <w:tc>
          <w:tcPr>
            <w:tcW w:type="dxa" w:w="1419"/>
            <w:vAlign w:val="center"/>
          </w:tcPr>
          <w:p>
            <w:r/>
            <w:r>
              <w:rPr>
                <w:rFonts w:ascii="Times New Roman" w:hAnsi="Times New Roman"/>
                <w:b w:val="0"/>
                <w:sz w:val="20"/>
              </w:rPr>
              <w:t>5</w:t>
            </w:r>
          </w:p>
        </w:tc>
        <w:tc>
          <w:tcPr>
            <w:tcW w:type="dxa" w:w="1419"/>
            <w:vAlign w:val="center"/>
          </w:tcPr>
          <w:p>
            <w:r/>
            <w:r>
              <w:rPr>
                <w:rFonts w:ascii="Times New Roman" w:hAnsi="Times New Roman"/>
                <w:b w:val="0"/>
                <w:sz w:val="20"/>
              </w:rPr>
              <w:t>5</w:t>
            </w:r>
          </w:p>
        </w:tc>
        <w:tc>
          <w:tcPr>
            <w:tcW w:type="dxa" w:w="1419"/>
            <w:vAlign w:val="center"/>
          </w:tcPr>
          <w:p>
            <w:r/>
            <w:r>
              <w:rPr>
                <w:rFonts w:ascii="Times New Roman" w:hAnsi="Times New Roman"/>
                <w:b w:val="0"/>
                <w:sz w:val="20"/>
              </w:rPr>
              <w:t>5</w:t>
            </w:r>
          </w:p>
        </w:tc>
        <w:tc>
          <w:tcPr>
            <w:tcW w:type="dxa" w:w="1419"/>
            <w:vAlign w:val="center"/>
          </w:tcPr>
          <w:p>
            <w:r/>
            <w:r>
              <w:rPr>
                <w:rFonts w:ascii="Times New Roman" w:hAnsi="Times New Roman"/>
                <w:b w:val="0"/>
                <w:sz w:val="20"/>
              </w:rPr>
              <w:t>4</w:t>
            </w:r>
          </w:p>
        </w:tc>
        <w:tc>
          <w:tcPr>
            <w:tcW w:type="dxa" w:w="1419"/>
            <w:vAlign w:val="center"/>
          </w:tcPr>
          <w:p>
            <w:r/>
            <w:r>
              <w:rPr>
                <w:rFonts w:ascii="Times New Roman" w:hAnsi="Times New Roman"/>
                <w:b w:val="0"/>
                <w:sz w:val="20"/>
              </w:rPr>
              <w:t>4</w:t>
            </w:r>
          </w:p>
        </w:tc>
      </w:tr>
      <w:tr>
        <w:tc>
          <w:tcPr>
            <w:tcW w:type="dxa" w:w="1419"/>
            <w:vAlign w:val="center"/>
          </w:tcPr>
          <w:p>
            <w:r/>
            <w:r>
              <w:rPr>
                <w:rFonts w:ascii="Times New Roman" w:hAnsi="Times New Roman"/>
                <w:b w:val="0"/>
                <w:sz w:val="20"/>
              </w:rPr>
              <w:t>4</w:t>
            </w:r>
          </w:p>
        </w:tc>
        <w:tc>
          <w:tcPr>
            <w:tcW w:type="dxa" w:w="1419"/>
            <w:vAlign w:val="center"/>
          </w:tcPr>
          <w:p>
            <w:r/>
            <w:r>
              <w:rPr>
                <w:rFonts w:ascii="Times New Roman" w:hAnsi="Times New Roman"/>
                <w:b w:val="0"/>
                <w:sz w:val="20"/>
              </w:rPr>
              <w:t>Stack Overflow – When to use NoSQL over RDBMS?</w:t>
            </w:r>
          </w:p>
        </w:tc>
        <w:tc>
          <w:tcPr>
            <w:tcW w:type="dxa" w:w="1419"/>
            <w:vAlign w:val="center"/>
          </w:tcPr>
          <w:p>
            <w:r/>
            <w:r>
              <w:rPr>
                <w:rFonts w:ascii="Times New Roman" w:hAnsi="Times New Roman"/>
                <w:b w:val="0"/>
                <w:sz w:val="20"/>
              </w:rPr>
              <w:t>4</w:t>
            </w:r>
          </w:p>
        </w:tc>
        <w:tc>
          <w:tcPr>
            <w:tcW w:type="dxa" w:w="1419"/>
            <w:vAlign w:val="center"/>
          </w:tcPr>
          <w:p>
            <w:r/>
            <w:r>
              <w:rPr>
                <w:rFonts w:ascii="Times New Roman" w:hAnsi="Times New Roman"/>
                <w:b w:val="0"/>
                <w:sz w:val="20"/>
              </w:rPr>
              <w:t>5</w:t>
            </w:r>
          </w:p>
        </w:tc>
        <w:tc>
          <w:tcPr>
            <w:tcW w:type="dxa" w:w="1419"/>
            <w:vAlign w:val="center"/>
          </w:tcPr>
          <w:p>
            <w:r/>
            <w:r>
              <w:rPr>
                <w:rFonts w:ascii="Times New Roman" w:hAnsi="Times New Roman"/>
                <w:b w:val="0"/>
                <w:sz w:val="20"/>
              </w:rPr>
              <w:t>3</w:t>
            </w:r>
          </w:p>
        </w:tc>
        <w:tc>
          <w:tcPr>
            <w:tcW w:type="dxa" w:w="1419"/>
            <w:vAlign w:val="center"/>
          </w:tcPr>
          <w:p>
            <w:r/>
            <w:r>
              <w:rPr>
                <w:rFonts w:ascii="Times New Roman" w:hAnsi="Times New Roman"/>
                <w:b w:val="0"/>
                <w:sz w:val="20"/>
              </w:rPr>
              <w:t>4</w:t>
            </w:r>
          </w:p>
        </w:tc>
        <w:tc>
          <w:tcPr>
            <w:tcW w:type="dxa" w:w="1419"/>
            <w:vAlign w:val="center"/>
          </w:tcPr>
          <w:p>
            <w:r/>
            <w:r>
              <w:rPr>
                <w:rFonts w:ascii="Times New Roman" w:hAnsi="Times New Roman"/>
                <w:b w:val="0"/>
                <w:sz w:val="20"/>
              </w:rPr>
              <w:t>4</w:t>
            </w:r>
          </w:p>
        </w:tc>
      </w:tr>
      <w:tr>
        <w:tc>
          <w:tcPr>
            <w:tcW w:type="dxa" w:w="1419"/>
            <w:vAlign w:val="center"/>
          </w:tcPr>
          <w:p>
            <w:r/>
            <w:r>
              <w:rPr>
                <w:rFonts w:ascii="Times New Roman" w:hAnsi="Times New Roman"/>
                <w:b w:val="0"/>
                <w:sz w:val="20"/>
              </w:rPr>
              <w:t>5</w:t>
            </w:r>
          </w:p>
        </w:tc>
        <w:tc>
          <w:tcPr>
            <w:tcW w:type="dxa" w:w="1419"/>
            <w:vAlign w:val="center"/>
          </w:tcPr>
          <w:p>
            <w:r/>
            <w:r>
              <w:rPr>
                <w:rFonts w:ascii="Times New Roman" w:hAnsi="Times New Roman"/>
                <w:b w:val="0"/>
                <w:sz w:val="20"/>
              </w:rPr>
              <w:t>Medium Personal Blog (2014) – Why SQL is Dead and NoSQL is the Future</w:t>
            </w:r>
          </w:p>
        </w:tc>
        <w:tc>
          <w:tcPr>
            <w:tcW w:type="dxa" w:w="1419"/>
            <w:vAlign w:val="center"/>
          </w:tcPr>
          <w:p>
            <w:r/>
            <w:r>
              <w:rPr>
                <w:rFonts w:ascii="Times New Roman" w:hAnsi="Times New Roman"/>
                <w:b w:val="0"/>
                <w:sz w:val="20"/>
              </w:rPr>
              <w:t>1</w:t>
            </w:r>
          </w:p>
        </w:tc>
        <w:tc>
          <w:tcPr>
            <w:tcW w:type="dxa" w:w="1419"/>
            <w:vAlign w:val="center"/>
          </w:tcPr>
          <w:p>
            <w:r/>
            <w:r>
              <w:rPr>
                <w:rFonts w:ascii="Times New Roman" w:hAnsi="Times New Roman"/>
                <w:b w:val="0"/>
                <w:sz w:val="20"/>
              </w:rPr>
              <w:t>3</w:t>
            </w:r>
          </w:p>
        </w:tc>
        <w:tc>
          <w:tcPr>
            <w:tcW w:type="dxa" w:w="1419"/>
            <w:vAlign w:val="center"/>
          </w:tcPr>
          <w:p>
            <w:r/>
            <w:r>
              <w:rPr>
                <w:rFonts w:ascii="Times New Roman" w:hAnsi="Times New Roman"/>
                <w:b w:val="0"/>
                <w:sz w:val="20"/>
              </w:rPr>
              <w:t>2</w:t>
            </w:r>
          </w:p>
        </w:tc>
        <w:tc>
          <w:tcPr>
            <w:tcW w:type="dxa" w:w="1419"/>
            <w:vAlign w:val="center"/>
          </w:tcPr>
          <w:p>
            <w:r/>
            <w:r>
              <w:rPr>
                <w:rFonts w:ascii="Times New Roman" w:hAnsi="Times New Roman"/>
                <w:b w:val="0"/>
                <w:sz w:val="20"/>
              </w:rPr>
              <w:t>2</w:t>
            </w:r>
          </w:p>
        </w:tc>
        <w:tc>
          <w:tcPr>
            <w:tcW w:type="dxa" w:w="1419"/>
            <w:vAlign w:val="center"/>
          </w:tcPr>
          <w:p>
            <w:r/>
            <w:r>
              <w:rPr>
                <w:rFonts w:ascii="Times New Roman" w:hAnsi="Times New Roman"/>
                <w:b w:val="0"/>
                <w:sz w:val="20"/>
              </w:rPr>
              <w:t>1</w:t>
            </w:r>
          </w:p>
        </w:tc>
      </w:tr>
    </w:tbl>
    <w:p>
      <w:r>
        <w:rPr>
          <w:rFonts w:ascii="Times New Roman" w:hAnsi="Times New Roman"/>
          <w:b w:val="0"/>
          <w:i/>
          <w:sz w:val="24"/>
        </w:rPr>
        <w:t>Quy ước: C = Currency, R = Relevance, A(Authority) = Tính uy quyền, A(Accuracy) = Tính chính xác, P = Purpose. Điểm 1–5 chỉ mang tính hỗ trợ đánh giá; cần xem xét cả nội dung và bằng chứng của từng nguồn.</w:t>
      </w:r>
    </w:p>
    <w:p>
      <w:r>
        <w:rPr>
          <w:rFonts w:ascii="Times New Roman" w:hAnsi="Times New Roman"/>
          <w:b/>
          <w:sz w:val="24"/>
        </w:rPr>
        <w:t>2.1. Nhận xét và quyết định sử dụng nguồn</w:t>
      </w:r>
    </w:p>
    <w:p>
      <w:r>
        <w:rPr>
          <w:rFonts w:ascii="Times New Roman" w:hAnsi="Times New Roman"/>
          <w:b w:val="0"/>
          <w:i w:val="0"/>
          <w:sz w:val="24"/>
        </w:rPr>
        <w:t>1. Nguồn học thuật: giữ làm nguồn chính. Có giá trị vì tập trung vào phân tích hiệu năng và phù hợp trực tiếp với câu hỏi nghiên cứu. Khi nộp bài cần kiểm tra lại đầy đủ thông tin thư mục/DOI từ Google Scholar hoặc trang IEEE.</w:t>
      </w:r>
    </w:p>
    <w:p>
      <w:r>
        <w:rPr>
          <w:rFonts w:ascii="Times New Roman" w:hAnsi="Times New Roman"/>
          <w:b w:val="0"/>
          <w:i w:val="0"/>
          <w:sz w:val="24"/>
        </w:rPr>
        <w:t>2. MongoDB Documentation: giữ để tham khảo kỹ thuật về mô hình document, khả năng mở rộng và giao dịch. Đây là nguồn chính thức của nhà cung cấp nên có giá trị kỹ thuật cao, nhưng có thể có thiên hướng giới thiệu sản phẩm.</w:t>
      </w:r>
    </w:p>
    <w:p>
      <w:r>
        <w:rPr>
          <w:rFonts w:ascii="Times New Roman" w:hAnsi="Times New Roman"/>
          <w:b w:val="0"/>
          <w:i w:val="0"/>
          <w:sz w:val="24"/>
        </w:rPr>
        <w:t>3. AWS: giữ để bổ sung góc nhìn thực tế về cơ sở dữ liệu quan hệ và phi quan hệ trong môi trường doanh nghiệp/cloud. Vì AWS cung cấp nhiều loại dịch vụ CSDL nên cần đọc kết hợp với nguồn độc lập.</w:t>
      </w:r>
    </w:p>
    <w:p>
      <w:r>
        <w:rPr>
          <w:rFonts w:ascii="Times New Roman" w:hAnsi="Times New Roman"/>
          <w:b w:val="0"/>
          <w:i w:val="0"/>
          <w:sz w:val="24"/>
        </w:rPr>
        <w:t>4. Stack Overflow: giữ ở vai trò nguồn tham khảo bổ trợ, không dùng làm căn cứ duy nhất cho kết luận kỹ thuật vì nội dung do cộng đồng đóng góp và không phải công trình học thuật được phản biện.</w:t>
      </w:r>
    </w:p>
    <w:p>
      <w:r>
        <w:rPr>
          <w:rFonts w:ascii="Times New Roman" w:hAnsi="Times New Roman"/>
          <w:b w:val="0"/>
          <w:i w:val="0"/>
          <w:sz w:val="24"/>
        </w:rPr>
        <w:t>5. Blog cá nhân năm 2014: loại bỏ khỏi nhóm nguồn chính vì quá cũ so với chủ đề công nghệ hiện tại và tiêu đề mang tính khẳng định cực đoan; có thể dùng như ví dụ về nguồn cần thận trọng khi đánh giá.</w:t>
      </w:r>
    </w:p>
    <w:p>
      <w:r>
        <w:rPr>
          <w:rFonts w:ascii="Times New Roman" w:hAnsi="Times New Roman"/>
          <w:b/>
          <w:sz w:val="28"/>
        </w:rPr>
        <w:t>3. TỔNG HỢP NỘI DUNG NGHIÊN CỨU VÀ SUY NGẪM VỀ THIÊN KIẾN</w:t>
      </w:r>
    </w:p>
    <w:p>
      <w:r>
        <w:rPr>
          <w:rFonts w:ascii="Times New Roman" w:hAnsi="Times New Roman"/>
          <w:b/>
          <w:sz w:val="24"/>
        </w:rPr>
        <w:t>3.1. Tổng hợp sự khác biệt chính giữa SQL và NoSQL</w:t>
      </w:r>
    </w:p>
    <w:p>
      <w:r>
        <w:rPr>
          <w:rFonts w:ascii="Times New Roman" w:hAnsi="Times New Roman"/>
          <w:b w:val="0"/>
          <w:i w:val="0"/>
          <w:sz w:val="24"/>
        </w:rPr>
        <w:t>A. Cơ sở dữ liệu quan hệ (SQL / RDBMS)</w:t>
      </w:r>
    </w:p>
    <w:p>
      <w:r>
        <w:rPr>
          <w:rFonts w:ascii="Times New Roman" w:hAnsi="Times New Roman"/>
          <w:b w:val="0"/>
          <w:i w:val="0"/>
          <w:sz w:val="24"/>
        </w:rPr>
        <w:t>• Cấu trúc dữ liệu: dữ liệu thường được tổ chức thành các bảng gồm hàng và cột, với schema được xác định tương đối rõ ràng.</w:t>
      </w:r>
    </w:p>
    <w:p>
      <w:r>
        <w:rPr>
          <w:rFonts w:ascii="Times New Roman" w:hAnsi="Times New Roman"/>
          <w:b w:val="0"/>
          <w:i w:val="0"/>
          <w:sz w:val="24"/>
        </w:rPr>
        <w:t>• Tính nhất quán: các hệ quản trị quan hệ thường cung cấp mô hình giao dịch ACID mạnh, phù hợp với các ứng dụng yêu cầu tính toàn vẹn và tính đúng đắn của giao dịch.</w:t>
      </w:r>
    </w:p>
    <w:p>
      <w:r>
        <w:rPr>
          <w:rFonts w:ascii="Times New Roman" w:hAnsi="Times New Roman"/>
          <w:b w:val="0"/>
          <w:i w:val="0"/>
          <w:sz w:val="24"/>
        </w:rPr>
        <w:t>• Khả năng mở rộng: SQL truyền thống thường được triển khai theo chiều dọc, nhưng nhiều hệ quản trị SQL hiện đại cũng hỗ trợ các chiến lược phân vùng, sao chép và mở rộng ngang tùy sản phẩm.</w:t>
      </w:r>
    </w:p>
    <w:p>
      <w:r>
        <w:rPr>
          <w:rFonts w:ascii="Times New Roman" w:hAnsi="Times New Roman"/>
          <w:b w:val="0"/>
          <w:i w:val="0"/>
          <w:sz w:val="24"/>
        </w:rPr>
        <w:t>• Trường hợp sử dụng phù hợp: các hệ thống giao dịch như tài chính, ngân hàng, quản lý đơn hàng và các ứng dụng yêu cầu quan hệ dữ liệu rõ ràng và tính toàn vẹn cao.</w:t>
      </w:r>
    </w:p>
    <w:p>
      <w:r>
        <w:rPr>
          <w:rFonts w:ascii="Times New Roman" w:hAnsi="Times New Roman"/>
          <w:b w:val="0"/>
          <w:i w:val="0"/>
          <w:sz w:val="24"/>
        </w:rPr>
        <w:t>B. Cơ sở dữ liệu phi quan hệ (NoSQL)</w:t>
      </w:r>
    </w:p>
    <w:p>
      <w:r>
        <w:rPr>
          <w:rFonts w:ascii="Times New Roman" w:hAnsi="Times New Roman"/>
          <w:b w:val="0"/>
          <w:i w:val="0"/>
          <w:sz w:val="24"/>
        </w:rPr>
        <w:t>• Cấu trúc dữ liệu: NoSQL bao gồm nhiều mô hình như document, key-value, wide-column và graph; schema thường linh hoạt hơn tùy hệ quản trị.</w:t>
      </w:r>
    </w:p>
    <w:p>
      <w:r>
        <w:rPr>
          <w:rFonts w:ascii="Times New Roman" w:hAnsi="Times New Roman"/>
          <w:b w:val="0"/>
          <w:i w:val="0"/>
          <w:sz w:val="24"/>
        </w:rPr>
        <w:t>• Tính nhất quán: không nên đồng nhất mọi hệ NoSQL với eventual consistency. Mức độ nhất quán phụ thuộc vào hệ quản trị và cách cấu hình. Ví dụ, MongoDB hiện hỗ trợ các giao dịch ACID nhiều tài liệu và nhiều collection.</w:t>
      </w:r>
    </w:p>
    <w:p>
      <w:r>
        <w:rPr>
          <w:rFonts w:ascii="Times New Roman" w:hAnsi="Times New Roman"/>
          <w:b w:val="0"/>
          <w:i w:val="0"/>
          <w:sz w:val="24"/>
        </w:rPr>
        <w:t>• Khả năng mở rộng: nhiều hệ NoSQL được thiết kế mạnh cho mở rộng ngang bằng cách phân phối dữ liệu trên nhiều máy chủ; MongoDB, chẳng hạn, hỗ trợ sharding.</w:t>
      </w:r>
    </w:p>
    <w:p>
      <w:r>
        <w:rPr>
          <w:rFonts w:ascii="Times New Roman" w:hAnsi="Times New Roman"/>
          <w:b w:val="0"/>
          <w:i w:val="0"/>
          <w:sz w:val="24"/>
        </w:rPr>
        <w:t>• Trường hợp sử dụng phù hợp: các ứng dụng có dữ liệu lớn, cấu trúc thay đổi thường xuyên hoặc cần mở rộng ngang, chẳng hạn một số hệ thống phân tích, IoT, nội dung và dữ liệu thời gian thực.</w:t>
      </w:r>
    </w:p>
    <w:p>
      <w:r>
        <w:rPr>
          <w:rFonts w:ascii="Times New Roman" w:hAnsi="Times New Roman"/>
          <w:b/>
          <w:sz w:val="24"/>
        </w:rPr>
        <w:t>3.2. Bảng so sánh tóm tắt SQL vs NoSQL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
              <w:rPr>
                <w:rFonts w:ascii="Times New Roman" w:hAnsi="Times New Roman"/>
                <w:b/>
                <w:sz w:val="20"/>
              </w:rPr>
              <w:t>Tiêu chí</w:t>
            </w:r>
          </w:p>
        </w:tc>
        <w:tc>
          <w:tcPr>
            <w:tcW w:type="dxa" w:w="3312"/>
            <w:vAlign w:val="center"/>
          </w:tcPr>
          <w:p>
            <w:r/>
            <w:r>
              <w:rPr>
                <w:rFonts w:ascii="Times New Roman" w:hAnsi="Times New Roman"/>
                <w:b/>
                <w:sz w:val="20"/>
              </w:rPr>
              <w:t>Cơ sở dữ liệu SQL</w:t>
            </w:r>
          </w:p>
        </w:tc>
        <w:tc>
          <w:tcPr>
            <w:tcW w:type="dxa" w:w="3312"/>
            <w:vAlign w:val="center"/>
          </w:tcPr>
          <w:p>
            <w:r/>
            <w:r>
              <w:rPr>
                <w:rFonts w:ascii="Times New Roman" w:hAnsi="Times New Roman"/>
                <w:b/>
                <w:sz w:val="20"/>
              </w:rPr>
              <w:t>Cơ sở dữ liệu NoSQL</w:t>
            </w:r>
          </w:p>
        </w:tc>
      </w:tr>
      <w:tr>
        <w:tc>
          <w:tcPr>
            <w:tcW w:type="dxa" w:w="3312"/>
            <w:vAlign w:val="center"/>
          </w:tcPr>
          <w:p>
            <w:r/>
            <w:r>
              <w:rPr>
                <w:rFonts w:ascii="Times New Roman" w:hAnsi="Times New Roman"/>
                <w:b w:val="0"/>
                <w:sz w:val="20"/>
              </w:rPr>
              <w:t>Mô hình dữ liệu</w:t>
            </w:r>
          </w:p>
        </w:tc>
        <w:tc>
          <w:tcPr>
            <w:tcW w:type="dxa" w:w="3312"/>
            <w:vAlign w:val="center"/>
          </w:tcPr>
          <w:p>
            <w:r/>
            <w:r>
              <w:rPr>
                <w:rFonts w:ascii="Times New Roman" w:hAnsi="Times New Roman"/>
                <w:b w:val="0"/>
                <w:sz w:val="20"/>
              </w:rPr>
              <w:t>Quan hệ, bảng/hàng/cột</w:t>
            </w:r>
          </w:p>
        </w:tc>
        <w:tc>
          <w:tcPr>
            <w:tcW w:type="dxa" w:w="3312"/>
            <w:vAlign w:val="center"/>
          </w:tcPr>
          <w:p>
            <w:r/>
            <w:r>
              <w:rPr>
                <w:rFonts w:ascii="Times New Roman" w:hAnsi="Times New Roman"/>
                <w:b w:val="0"/>
                <w:sz w:val="20"/>
              </w:rPr>
              <w:t>Document, Key-Value, Wide-column, Graph</w:t>
            </w:r>
          </w:p>
        </w:tc>
      </w:tr>
      <w:tr>
        <w:tc>
          <w:tcPr>
            <w:tcW w:type="dxa" w:w="3312"/>
            <w:vAlign w:val="center"/>
          </w:tcPr>
          <w:p>
            <w:r/>
            <w:r>
              <w:rPr>
                <w:rFonts w:ascii="Times New Roman" w:hAnsi="Times New Roman"/>
                <w:b w:val="0"/>
                <w:sz w:val="20"/>
              </w:rPr>
              <w:t>Schema</w:t>
            </w:r>
          </w:p>
        </w:tc>
        <w:tc>
          <w:tcPr>
            <w:tcW w:type="dxa" w:w="3312"/>
            <w:vAlign w:val="center"/>
          </w:tcPr>
          <w:p>
            <w:r/>
            <w:r>
              <w:rPr>
                <w:rFonts w:ascii="Times New Roman" w:hAnsi="Times New Roman"/>
                <w:b w:val="0"/>
                <w:sz w:val="20"/>
              </w:rPr>
              <w:t>Thường được định nghĩa rõ và có cấu trúc</w:t>
            </w:r>
          </w:p>
        </w:tc>
        <w:tc>
          <w:tcPr>
            <w:tcW w:type="dxa" w:w="3312"/>
            <w:vAlign w:val="center"/>
          </w:tcPr>
          <w:p>
            <w:r/>
            <w:r>
              <w:rPr>
                <w:rFonts w:ascii="Times New Roman" w:hAnsi="Times New Roman"/>
                <w:b w:val="0"/>
                <w:sz w:val="20"/>
              </w:rPr>
              <w:t>Thường linh hoạt hơn, tùy hệ quản trị</w:t>
            </w:r>
          </w:p>
        </w:tc>
      </w:tr>
      <w:tr>
        <w:tc>
          <w:tcPr>
            <w:tcW w:type="dxa" w:w="3312"/>
            <w:vAlign w:val="center"/>
          </w:tcPr>
          <w:p>
            <w:r/>
            <w:r>
              <w:rPr>
                <w:rFonts w:ascii="Times New Roman" w:hAnsi="Times New Roman"/>
                <w:b w:val="0"/>
                <w:sz w:val="20"/>
              </w:rPr>
              <w:t>Giao dịch &amp; nhất quán</w:t>
            </w:r>
          </w:p>
        </w:tc>
        <w:tc>
          <w:tcPr>
            <w:tcW w:type="dxa" w:w="3312"/>
            <w:vAlign w:val="center"/>
          </w:tcPr>
          <w:p>
            <w:r/>
            <w:r>
              <w:rPr>
                <w:rFonts w:ascii="Times New Roman" w:hAnsi="Times New Roman"/>
                <w:b w:val="0"/>
                <w:sz w:val="20"/>
              </w:rPr>
              <w:t>Thường hỗ trợ ACID mạnh</w:t>
            </w:r>
          </w:p>
        </w:tc>
        <w:tc>
          <w:tcPr>
            <w:tcW w:type="dxa" w:w="3312"/>
            <w:vAlign w:val="center"/>
          </w:tcPr>
          <w:p>
            <w:r/>
            <w:r>
              <w:rPr>
                <w:rFonts w:ascii="Times New Roman" w:hAnsi="Times New Roman"/>
                <w:b w:val="0"/>
                <w:sz w:val="20"/>
              </w:rPr>
              <w:t>Mô hình và mức độ nhất quán thay đổi theo hệ quản trị; nhiều hệ hỗ trợ giao dịch ACID</w:t>
            </w:r>
          </w:p>
        </w:tc>
      </w:tr>
      <w:tr>
        <w:tc>
          <w:tcPr>
            <w:tcW w:type="dxa" w:w="3312"/>
            <w:vAlign w:val="center"/>
          </w:tcPr>
          <w:p>
            <w:r/>
            <w:r>
              <w:rPr>
                <w:rFonts w:ascii="Times New Roman" w:hAnsi="Times New Roman"/>
                <w:b w:val="0"/>
                <w:sz w:val="20"/>
              </w:rPr>
              <w:t>Mở rộng</w:t>
            </w:r>
          </w:p>
        </w:tc>
        <w:tc>
          <w:tcPr>
            <w:tcW w:type="dxa" w:w="3312"/>
            <w:vAlign w:val="center"/>
          </w:tcPr>
          <w:p>
            <w:r/>
            <w:r>
              <w:rPr>
                <w:rFonts w:ascii="Times New Roman" w:hAnsi="Times New Roman"/>
                <w:b w:val="0"/>
                <w:sz w:val="20"/>
              </w:rPr>
              <w:t>Có thể mở rộng dọc; một số hệ hiện đại hỗ trợ mở rộng ngang</w:t>
            </w:r>
          </w:p>
        </w:tc>
        <w:tc>
          <w:tcPr>
            <w:tcW w:type="dxa" w:w="3312"/>
            <w:vAlign w:val="center"/>
          </w:tcPr>
          <w:p>
            <w:r/>
            <w:r>
              <w:rPr>
                <w:rFonts w:ascii="Times New Roman" w:hAnsi="Times New Roman"/>
                <w:b w:val="0"/>
                <w:sz w:val="20"/>
              </w:rPr>
              <w:t>Thường được thiết kế thuận lợi cho mở rộng ngang</w:t>
            </w:r>
          </w:p>
        </w:tc>
      </w:tr>
      <w:tr>
        <w:tc>
          <w:tcPr>
            <w:tcW w:type="dxa" w:w="3312"/>
            <w:vAlign w:val="center"/>
          </w:tcPr>
          <w:p>
            <w:r/>
            <w:r>
              <w:rPr>
                <w:rFonts w:ascii="Times New Roman" w:hAnsi="Times New Roman"/>
                <w:b w:val="0"/>
                <w:sz w:val="20"/>
              </w:rPr>
              <w:t>Truy vấn</w:t>
            </w:r>
          </w:p>
        </w:tc>
        <w:tc>
          <w:tcPr>
            <w:tcW w:type="dxa" w:w="3312"/>
            <w:vAlign w:val="center"/>
          </w:tcPr>
          <w:p>
            <w:r/>
            <w:r>
              <w:rPr>
                <w:rFonts w:ascii="Times New Roman" w:hAnsi="Times New Roman"/>
                <w:b w:val="0"/>
                <w:sz w:val="20"/>
              </w:rPr>
              <w:t>SQL là ngôn ngữ phổ biến, chuẩn hóa rộng rãi</w:t>
            </w:r>
          </w:p>
        </w:tc>
        <w:tc>
          <w:tcPr>
            <w:tcW w:type="dxa" w:w="3312"/>
            <w:vAlign w:val="center"/>
          </w:tcPr>
          <w:p>
            <w:r/>
            <w:r>
              <w:rPr>
                <w:rFonts w:ascii="Times New Roman" w:hAnsi="Times New Roman"/>
                <w:b w:val="0"/>
                <w:sz w:val="20"/>
              </w:rPr>
              <w:t>API/ngôn ngữ truy vấn phụ thuộc từng hệ quản trị</w:t>
            </w:r>
          </w:p>
        </w:tc>
      </w:tr>
      <w:tr>
        <w:tc>
          <w:tcPr>
            <w:tcW w:type="dxa" w:w="3312"/>
            <w:vAlign w:val="center"/>
          </w:tcPr>
          <w:p>
            <w:r/>
            <w:r>
              <w:rPr>
                <w:rFonts w:ascii="Times New Roman" w:hAnsi="Times New Roman"/>
                <w:b w:val="0"/>
                <w:sz w:val="20"/>
              </w:rPr>
              <w:t>Lựa chọn sử dụng</w:t>
            </w:r>
          </w:p>
        </w:tc>
        <w:tc>
          <w:tcPr>
            <w:tcW w:type="dxa" w:w="3312"/>
            <w:vAlign w:val="center"/>
          </w:tcPr>
          <w:p>
            <w:r/>
            <w:r>
              <w:rPr>
                <w:rFonts w:ascii="Times New Roman" w:hAnsi="Times New Roman"/>
                <w:b w:val="0"/>
                <w:sz w:val="20"/>
              </w:rPr>
              <w:t>Phù hợp dữ liệu có quan hệ rõ và giao dịch cần tính toàn vẹn cao</w:t>
            </w:r>
          </w:p>
        </w:tc>
        <w:tc>
          <w:tcPr>
            <w:tcW w:type="dxa" w:w="3312"/>
            <w:vAlign w:val="center"/>
          </w:tcPr>
          <w:p>
            <w:r/>
            <w:r>
              <w:rPr>
                <w:rFonts w:ascii="Times New Roman" w:hAnsi="Times New Roman"/>
                <w:b w:val="0"/>
                <w:sz w:val="20"/>
              </w:rPr>
              <w:t>Phù hợp nhiều mô hình dữ liệu linh hoạt và bài toán cần mở rộng/phân phối</w:t>
            </w:r>
          </w:p>
        </w:tc>
      </w:tr>
    </w:tbl>
    <w:p>
      <w:r>
        <w:rPr>
          <w:rFonts w:ascii="Times New Roman" w:hAnsi="Times New Roman"/>
          <w:b/>
          <w:sz w:val="24"/>
        </w:rPr>
        <w:t>3.3. Suy ngẫm về thiên kiến của nhà cung cấp (Vendor Bias)</w:t>
      </w:r>
    </w:p>
    <w:p>
      <w:r>
        <w:rPr>
          <w:rFonts w:ascii="Times New Roman" w:hAnsi="Times New Roman"/>
          <w:b w:val="0"/>
          <w:i w:val="0"/>
          <w:sz w:val="24"/>
        </w:rPr>
        <w:t>Trong quá trình tìm kiếm, cần nhận diện rằng tài liệu của nhà cung cấp có thể nhấn mạnh các tính năng và trường hợp sử dụng có lợi cho sản phẩm của họ. Vì vậy, không nên kết luận SQL hoặc NoSQL luôn vượt trội trong mọi tình huống.</w:t>
      </w:r>
    </w:p>
    <w:p>
      <w:r>
        <w:rPr>
          <w:rFonts w:ascii="Times New Roman" w:hAnsi="Times New Roman"/>
          <w:b w:val="0"/>
          <w:i w:val="0"/>
          <w:sz w:val="24"/>
        </w:rPr>
        <w:t>• Tài liệu của nhà cung cấp nên được sử dụng để hiểu tính năng kỹ thuật cụ thể, nhưng nên đối chiếu với nghiên cứu độc lập và benchmark.</w:t>
      </w:r>
    </w:p>
    <w:p>
      <w:r>
        <w:rPr>
          <w:rFonts w:ascii="Times New Roman" w:hAnsi="Times New Roman"/>
          <w:b w:val="0"/>
          <w:i w:val="0"/>
          <w:sz w:val="24"/>
        </w:rPr>
        <w:t>• Không nên dùng các khẳng định mang tính tuyệt đối như “SQL đã lỗi thời” hoặc “NoSQL không an toàn dữ liệu” nếu không có bằng chứng cụ thể.</w:t>
      </w:r>
    </w:p>
    <w:p>
      <w:r>
        <w:rPr>
          <w:rFonts w:ascii="Times New Roman" w:hAnsi="Times New Roman"/>
          <w:b w:val="0"/>
          <w:i w:val="0"/>
          <w:sz w:val="24"/>
        </w:rPr>
        <w:t>• SQL và NoSQL đều tiếp tục phát triển. Ví dụ, MongoDB hiện hỗ trợ giao dịch ACID nhiều tài liệu; do đó việc đồng nhất NoSQL với eventual consistency là không chính xác.</w:t>
      </w:r>
    </w:p>
    <w:p>
      <w:r>
        <w:rPr>
          <w:rFonts w:ascii="Times New Roman" w:hAnsi="Times New Roman"/>
          <w:b w:val="0"/>
          <w:i w:val="0"/>
          <w:sz w:val="24"/>
        </w:rPr>
        <w:t>• Việc lựa chọn hệ quản trị nên dựa trên yêu cầu ứng dụng, mô hình dữ liệu, tải truy cập, yêu cầu nhất quán, khả năng mở rộng, chi phí vận hành và kết quả benchmark phù hợp với bài toán.</w:t>
      </w:r>
    </w:p>
    <w:p>
      <w:r>
        <w:rPr>
          <w:rFonts w:ascii="Times New Roman" w:hAnsi="Times New Roman"/>
          <w:b/>
          <w:sz w:val="24"/>
        </w:rPr>
        <w:t>3.4. Kết luận nghiên cứu</w:t>
      </w:r>
    </w:p>
    <w:p>
      <w:r>
        <w:rPr>
          <w:rFonts w:ascii="Times New Roman" w:hAnsi="Times New Roman"/>
          <w:b w:val="0"/>
          <w:i w:val="0"/>
          <w:sz w:val="24"/>
        </w:rPr>
        <w:t>Qua các nguồn được đánh giá, SQL và NoSQL không nên được xem là hai lựa chọn mà một loại luôn thay thế loại còn lại. SQL có lợi thế trong các hệ thống dữ liệu quan hệ và giao dịch cần tính toàn vẹn cao; trong khi NoSQL cung cấp nhiều mô hình dữ liệu và thường phù hợp với các bài toán cần schema linh hoạt hoặc mở rộng ngang. Tuy nhiên, khả năng ACID, nhất quán, mở rộng và hiệu năng phụ thuộc vào từng hệ quản trị và cấu hình cụ thể. Vì vậy, quyết định lựa chọn nên dựa trên yêu cầu kỹ thuật của ứng dụng thay vì dựa trên các tuyên bố tiếp thị hoặc quan điểm tuyệt đối.</w:t>
      </w:r>
    </w:p>
    <w:p>
      <w:r>
        <w:rPr>
          <w:rFonts w:ascii="Times New Roman" w:hAnsi="Times New Roman"/>
          <w:b/>
          <w:sz w:val="28"/>
        </w:rPr>
        <w:t>4. DANH SÁCH TÀI LIỆU THAM KHẢO</w:t>
      </w:r>
    </w:p>
    <w:p>
      <w:r>
        <w:t>[1] R. C. V. Kumar and S. M. Prasanna, “Performance Analysis of SQL and NoSQL Databases for Big Data Applications,” IEEE Access, 2023.</w:t>
      </w:r>
    </w:p>
    <w:p>
      <w:r>
        <w:rPr>
          <w:rFonts w:ascii="Times New Roman" w:hAnsi="Times New Roman"/>
          <w:b w:val="0"/>
          <w:i w:val="0"/>
          <w:sz w:val="24"/>
        </w:rPr>
        <w:t>[2] MongoDB, “Transactions,” MongoDB Documentation. [Online]. Available: https://www.mongodb.com/docs/manual/core/transactions/. [Accessed: Oct. 2, 2026].</w:t>
      </w:r>
    </w:p>
    <w:p>
      <w:r>
        <w:rPr>
          <w:rFonts w:ascii="Times New Roman" w:hAnsi="Times New Roman"/>
          <w:b w:val="0"/>
          <w:i w:val="0"/>
          <w:sz w:val="24"/>
        </w:rPr>
        <w:t>[3] MongoDB, “Data Consistency,” MongoDB Documentation. [Online]. Available: https://www.mongodb.com/docs/manual/data-modeling/data-consistency/. [Accessed: Oct. 2, 2026].</w:t>
      </w:r>
    </w:p>
    <w:p>
      <w:r>
        <w:rPr>
          <w:rFonts w:ascii="Times New Roman" w:hAnsi="Times New Roman"/>
          <w:b w:val="0"/>
          <w:i w:val="0"/>
          <w:sz w:val="24"/>
        </w:rPr>
        <w:t>[4] Amazon Web Services, “Relational vs. Non-Relational Databases,” AWS. [Online]. Available: https://aws.amazon.com/nosql/. [Accessed: Oct. 2, 2026].</w:t>
      </w:r>
    </w:p>
    <w:p>
      <w:r>
        <w:rPr>
          <w:rFonts w:ascii="Times New Roman" w:hAnsi="Times New Roman"/>
          <w:b w:val="0"/>
          <w:i w:val="0"/>
          <w:sz w:val="24"/>
        </w:rPr>
        <w:t>[5] Stack Overflow, “When to use NoSQL over RDBMS?,” Stack Overflow Community Discussion. [Online]. Available: https://stackoverflow.com/questions/105572/. [Accessed: Oct. 2, 2026].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Báo cáo Bài 4 – Buổi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