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  <w:rFonts w:ascii="微软雅黑" w:hAnsi="微软雅黑" w:cs="微软雅黑" w:eastAsia="微软雅黑"/>
        </w:rPr>
        <w:t>软件运营周报 - 2024年第X周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类别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  <w:tc>
          <w:p>
            <w:pPr>
              <w:jc w:val="center"/>
            </w:pPr>
            <w:r>
              <w:t>指标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  <w:tc>
          <w:p>
            <w:pPr>
              <w:jc w:val="center"/>
            </w:pPr>
            <w:r>
              <w:t>数值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  <w:tc>
          <w:p>
            <w:pPr>
              <w:jc w:val="center"/>
            </w:pPr>
            <w:r>
              <w:t>备注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系统运行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系统可用性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99.8%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本周无重大故障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系统运行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平均响应时间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120ms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较上周提升5%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系统运行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错误率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0.2%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主要来自API调用超时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用户活动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活跃用户数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1,250人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环比增长8%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用户活动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新增用户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85人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主要来自XX部门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用户活动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用户登录次数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3,850次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平均每人3.1次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软件管理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新增软件包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15个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包含5个开源软件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软件管理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软件下载量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2,340次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最热门：Nginx 1.25.4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软件管理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审批通过率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92%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8个待审批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问题处理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处理工单数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23个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平均响应时间2小时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问题处理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解决率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95%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1个待跟进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问题处理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紧急问题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2个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已全部解决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性能监控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CPU使用率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45%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峰值65%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性能监控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内存使用率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60%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正常范围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性能监控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存储空间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75%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建议清理历史数据</w:t>
            </w:r>
            <w:r>
              <w:rPr>
                <w:rFonts w:ascii="微软雅黑" w:hAnsi="微软雅黑" w:cs="微软雅黑" w:eastAsia="微软雅黑"/>
              </w:rPr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2026-04-01T06:43:11Z</dcterms:created>
  <dc:creator>Apache POI</dc:creator>
</cp:coreProperties>
</file>