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left"/>
      </w:pPr>
      <w:r>
        <w:rPr>
          <w:rFonts w:ascii="Noto Sans CJK SC" w:hAnsi="Noto Sans CJK SC" w:eastAsia="Noto Sans CJK SC"/>
          <w:b/>
          <w:sz w:val="44"/>
        </w:rPr>
        <w:t>09-1 多平台商品数据底座：合规采购、同构与指标加工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EEF4FB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</w:rPr>
              <w:t>本章课程目标：</w:t>
            </w:r>
            <w:r>
              <w:t>回答“怎样为 Globex 准备持续更新的多平台商品数据”这一问题：从合规采购数据包出发，完成四平台数据来源说明、异构 schema 同构、清洗准入、线上回流，以及 ODS → DWD → ADS 指标加工。</w:t>
            </w:r>
          </w:p>
        </w:tc>
      </w:tr>
    </w:tbl>
    <w:p/>
    <w:p>
      <w:pPr>
        <w:pStyle w:val="ListBullet"/>
        <w:ind w:left="369"/>
      </w:pPr>
      <w:r>
        <w:t>看懂三种数据获取方式：自建爬虫 / 平台官方 API / 合规数据提供商采购，以及为什么项目选择第三种。</w:t>
      </w:r>
    </w:p>
    <w:p>
      <w:pPr>
        <w:pStyle w:val="ListBullet"/>
        <w:ind w:left="369"/>
      </w:pPr>
      <w:r>
        <w:t>掌握四平台数据包构成、首次全量 + 每日增量 + 定期全量对账的交付节奏。</w:t>
      </w:r>
    </w:p>
    <w:p>
      <w:pPr>
        <w:pStyle w:val="ListBullet"/>
        <w:ind w:left="369"/>
      </w:pPr>
      <w:r>
        <w:t>把 Amazon / Shopee / AliExpress / eBay 的异构字段统一收敛成 StandardItem。</w:t>
      </w:r>
    </w:p>
    <w:p>
      <w:pPr>
        <w:pStyle w:val="ListBullet"/>
        <w:ind w:left="369"/>
      </w:pPr>
      <w:r>
        <w:t>通过去重、异常值与缺失值处理、无效商品过滤、质量分级，保证 product_search 的质量下限。</w:t>
      </w:r>
    </w:p>
    <w:p>
      <w:pPr>
        <w:pStyle w:val="ListBullet"/>
        <w:ind w:left="369"/>
      </w:pPr>
      <w:r>
        <w:t>理解线上 trace 如何通过离线 ETL 回流到 ADS 指标层，再反哺 category_insight、采购策略与训练飞轮。</w:t>
      </w:r>
    </w:p>
    <w:p>
      <w:r>
        <w:t>学习主线：Agent 链路解决“怎么用数据”，本章解决“数据从哪里来、如何变得能用”。两者合起来才是完整系统。</w:t>
      </w:r>
    </w:p>
    <w:p>
      <w:pPr>
        <w:pStyle w:val="Heading1"/>
      </w:pPr>
      <w:r>
        <w:t>1、数据从哪里来：为什么是合规采购</w:t>
      </w:r>
    </w:p>
    <w:p>
      <w:pPr>
        <w:pStyle w:val="Heading2"/>
      </w:pPr>
      <w:r>
        <w:t>1.1 三种获取方式对比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rPr>
          <w:tblHeader w:val="true"/>
        </w:trPr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方式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做法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问题</w:t>
            </w:r>
          </w:p>
        </w:tc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结论</w:t>
            </w:r>
          </w:p>
        </w:tc>
      </w:tr>
      <w:tr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自建爬虫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自己写爬虫抓取各平台页面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法律与合规风险高（违反平台 ToS）；反爬对抗成本无底洞；页面改版会造成全链路断裂</w:t>
            </w:r>
          </w:p>
        </w:tc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不采用</w:t>
            </w:r>
          </w:p>
        </w:tc>
      </w:tr>
      <w:tr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平台官方 API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逐个平台申请开发者资质、走 OAuth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申请门槛高、配额有限；平台能力参差，部分平台不开放检索 API；覆盖字段不全</w:t>
            </w:r>
          </w:p>
        </w:tc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不采用</w:t>
            </w:r>
          </w:p>
        </w:tc>
      </w:tr>
      <w:tr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合规数据提供商采购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向专业数据服务商采购已授权的商品数据包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存在采购成本；数据新鲜度取决于服务商更新频率</w:t>
            </w:r>
          </w:p>
        </w:tc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Globex 的选择</w:t>
            </w:r>
          </w:p>
        </w:tc>
      </w:tr>
    </w:tbl>
    <w:p/>
    <w:p>
      <w:r>
        <w:t>本章选择第三条路：向专业数据提供商采购授权范围内的商品数据包。商品工具只查询我们维护的商品库，平台字段差异和交付节奏由离线数据管线处理。</w:t>
      </w:r>
    </w:p>
    <w:p>
      <w:pPr>
        <w:pStyle w:val="Heading2"/>
      </w:pPr>
      <w:r>
        <w:t>1.2 为什么采购是工程上的最优解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维度</w:t>
            </w:r>
          </w:p>
        </w:tc>
        <w:tc>
          <w:tcPr>
            <w:tcW w:type="dxa" w:w="72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采购带来什么</w:t>
            </w:r>
          </w:p>
        </w:tc>
      </w:tr>
      <w:t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合规</w:t>
            </w:r>
          </w:p>
        </w:tc>
        <w:tc>
          <w:tcPr>
            <w:tcW w:type="dxa" w:w="72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数据授权链路清晰，能说明数据来源合法性与约定使用范围</w:t>
            </w:r>
          </w:p>
        </w:tc>
      </w:tr>
      <w:t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稳定</w:t>
            </w:r>
          </w:p>
        </w:tc>
        <w:tc>
          <w:tcPr>
            <w:tcW w:type="dxa" w:w="72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不需要持续与反爬策略对抗；页面改版不会直接击穿线上检索链路</w:t>
            </w:r>
          </w:p>
        </w:tc>
      </w:tr>
      <w:t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省人力</w:t>
            </w:r>
          </w:p>
        </w:tc>
        <w:tc>
          <w:tcPr>
            <w:tcW w:type="dxa" w:w="72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工程团队把精力集中在 Agent、检索、评测与数据治理，而不是长期养爬虫/代理池</w:t>
            </w:r>
          </w:p>
        </w:tc>
      </w:tr>
      <w:t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覆盖</w:t>
            </w:r>
          </w:p>
        </w:tc>
        <w:tc>
          <w:tcPr>
            <w:tcW w:type="dxa" w:w="72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一家供应商可同时覆盖多平台，接入一次即可拿到多平台数据</w:t>
            </w:r>
          </w:p>
        </w:tc>
      </w:tr>
    </w:tbl>
    <w:p/>
    <w:p>
      <w:r>
        <w:t>采购也带来两个后续问题：数据多久更新一次，以及下一批应该补哪些商品。§2.3 讨论更新节奏，§5 再用检索结果和使用反馈判断采购覆盖是否合适。</w:t>
      </w:r>
    </w:p>
    <w:p>
      <w:pPr>
        <w:pStyle w:val="Heading2"/>
      </w:pPr>
      <w:r>
        <w:t>1.3 采购模式的合规要点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</w:trPr>
        <w:tc>
          <w:tcPr>
            <w:tcW w:type="dxa" w:w="23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要点</w:t>
            </w:r>
          </w:p>
        </w:tc>
        <w:tc>
          <w:tcPr>
            <w:tcW w:type="dxa" w:w="669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c>
          <w:tcPr>
            <w:tcW w:type="dxa" w:w="23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提供商资质审查</w:t>
            </w:r>
          </w:p>
        </w:tc>
        <w:tc>
          <w:tcPr>
            <w:tcW w:type="dxa" w:w="669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确认服务商具备数据服务资质，数据来源具有合法授权链路。</w:t>
            </w:r>
          </w:p>
        </w:tc>
      </w:tr>
      <w:tr>
        <w:tc>
          <w:tcPr>
            <w:tcW w:type="dxa" w:w="23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合同约定使用范围</w:t>
            </w:r>
          </w:p>
        </w:tc>
        <w:tc>
          <w:tcPr>
            <w:tcW w:type="dxa" w:w="669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数据只用于约定用途（商品检索 / 比价 / 推荐），不做二次转售。</w:t>
            </w:r>
          </w:p>
        </w:tc>
      </w:tr>
      <w:tr>
        <w:tc>
          <w:tcPr>
            <w:tcW w:type="dxa" w:w="23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隐私合规</w:t>
            </w:r>
          </w:p>
        </w:tc>
        <w:tc>
          <w:tcPr>
            <w:tcW w:type="dxa" w:w="669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采购数据中不应包含个人信息；评论类数据只保留聚合统计，不采购评论原文与作者信息。</w:t>
            </w:r>
          </w:p>
        </w:tc>
      </w:tr>
      <w:tr>
        <w:tc>
          <w:tcPr>
            <w:tcW w:type="dxa" w:w="23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入库前脱敏</w:t>
            </w:r>
          </w:p>
        </w:tc>
        <w:tc>
          <w:tcPr>
            <w:tcW w:type="dxa" w:w="669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若数据包中疑似出现个人信息字段，入库前统一删除。</w:t>
            </w:r>
          </w:p>
        </w:tc>
      </w:tr>
    </w:tbl>
    <w:p/>
    <w:p>
      <w:pPr>
        <w:pStyle w:val="Heading1"/>
      </w:pPr>
      <w:r>
        <w:t>2、多平台数据来源说明</w:t>
      </w:r>
    </w:p>
    <w:p>
      <w:pPr>
        <w:pStyle w:val="Heading2"/>
      </w:pPr>
      <w:r>
        <w:t>2.1 四平台数据包构成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9"/>
        <w:gridCol w:w="1709"/>
        <w:gridCol w:w="1709"/>
        <w:gridCol w:w="1709"/>
        <w:gridCol w:w="1709"/>
        <w:gridCol w:w="1709"/>
      </w:tblGrid>
      <w:tr>
        <w:trPr>
          <w:tblHeader w:val="true"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数据包</w:t>
            </w:r>
          </w:p>
        </w:tc>
        <w:tc>
          <w:tcPr>
            <w:tcW w:type="dxa" w:w="317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内容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Amazon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Shopee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AliExpress</w:t>
            </w:r>
          </w:p>
        </w:tc>
        <w:tc>
          <w:tcPr>
            <w:tcW w:type="dxa" w:w="107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eBay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商品主数据</w:t>
            </w:r>
          </w:p>
        </w:tc>
        <w:tc>
          <w:tcPr>
            <w:tcW w:type="dxa" w:w="317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标题、描述、图片 URL、品牌、规格属性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有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有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有</w:t>
            </w:r>
          </w:p>
        </w:tc>
        <w:tc>
          <w:tcPr>
            <w:tcW w:type="dxa" w:w="107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有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价格数据</w:t>
            </w:r>
          </w:p>
        </w:tc>
        <w:tc>
          <w:tcPr>
            <w:tcW w:type="dxa" w:w="317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现价、原价、币种、促销标记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有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有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有</w:t>
            </w:r>
          </w:p>
        </w:tc>
        <w:tc>
          <w:tcPr>
            <w:tcW w:type="dxa" w:w="107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有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评价聚合</w:t>
            </w:r>
          </w:p>
        </w:tc>
        <w:tc>
          <w:tcPr>
            <w:tcW w:type="dxa" w:w="317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平均评分、评论数、好评率（只要聚合，不要评论原文）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有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有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有</w:t>
            </w:r>
          </w:p>
        </w:tc>
        <w:tc>
          <w:tcPr>
            <w:tcW w:type="dxa" w:w="107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部分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类目数据</w:t>
            </w:r>
          </w:p>
        </w:tc>
        <w:tc>
          <w:tcPr>
            <w:tcW w:type="dxa" w:w="317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平台类目树、商品-类目挂载关系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有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有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有</w:t>
            </w:r>
          </w:p>
        </w:tc>
        <w:tc>
          <w:tcPr>
            <w:tcW w:type="dxa" w:w="107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有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FF8E6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</w:rPr>
              <w:t>原则：</w:t>
            </w:r>
            <w:r>
              <w:t>Globex 只采购评价的聚合统计（均分 / 数量 / 好评率），不采购评论原文。品类口碑洞察由后续 RAG 知识库中的公开测评内容承担。</w:t>
            </w:r>
          </w:p>
        </w:tc>
      </w:tr>
    </w:tbl>
    <w:p/>
    <w:p>
      <w:pPr>
        <w:pStyle w:val="Heading2"/>
      </w:pPr>
      <w:r>
        <w:t>2.2 全量与每日增量交付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交付方式</w:t>
            </w:r>
          </w:p>
        </w:tc>
        <w:tc>
          <w:tcPr>
            <w:tcW w:type="dxa" w:w="32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形态</w:t>
            </w:r>
          </w:p>
        </w:tc>
        <w:tc>
          <w:tcPr>
            <w:tcW w:type="dxa" w:w="36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处理方式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首次全量包</w:t>
            </w:r>
          </w:p>
        </w:tc>
        <w:tc>
          <w:tcPr>
            <w:tcW w:type="dxa" w:w="32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采购的 JSONL / Parquet 文件</w:t>
            </w:r>
          </w:p>
        </w:tc>
        <w:tc>
          <w:tcPr>
            <w:tcW w:type="dxa" w:w="36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完成 ETL 校验后初始化商品库和向量索引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每日增量包</w:t>
            </w:r>
          </w:p>
        </w:tc>
        <w:tc>
          <w:tcPr>
            <w:tcW w:type="dxa" w:w="32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新增、修改、下架记录及来源更新时间</w:t>
            </w:r>
          </w:p>
        </w:tc>
        <w:tc>
          <w:tcPr>
            <w:tcW w:type="dxa" w:w="36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按商品 ID 更新商品库；根据变更类型决定是否重算向量索引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定期全量对账</w:t>
            </w:r>
          </w:p>
        </w:tc>
        <w:tc>
          <w:tcPr>
            <w:tcW w:type="dxa" w:w="32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完整商品快照</w:t>
            </w:r>
          </w:p>
        </w:tc>
        <w:tc>
          <w:tcPr>
            <w:tcW w:type="dxa" w:w="36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校验漏增量、删除与覆盖范围，生成修复任务</w:t>
            </w:r>
          </w:p>
        </w:tc>
      </w:tr>
    </w:tbl>
    <w:p/>
    <w:p>
      <w:r>
        <w:t>买家搜索发生在这条链路末端：数据先交付、清洗并入库，product_search 再查询入库结果。把数据更新放在搜索之前，可以避免一次搜索的耗时与供应商实时交付能力耦合。</w:t>
      </w:r>
    </w:p>
    <w:p>
      <w:pPr>
        <w:pStyle w:val="Heading2"/>
      </w:pPr>
      <w:r>
        <w:t>2.3 更新频率分层</w:t>
      </w:r>
    </w:p>
    <w:p>
      <w:r>
        <w:t>每天收到增量包后，先按商品 ID 找到原记录，再比较生成向量所用的文本。项目统一使用 Product.searchable_text() 组织检索文本，因此是否需要重算向量由该方法的输出是否变化决定。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变化</w:t>
            </w:r>
          </w:p>
        </w:tc>
        <w:tc>
          <w:tcPr>
            <w:tcW w:type="dxa" w:w="30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商品库怎么处理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向量索引怎么处理</w:t>
            </w:r>
          </w:p>
        </w:tc>
      </w:tr>
      <w:tr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新增商品，或 searchable_text() 返回的文本改变</w:t>
            </w:r>
          </w:p>
        </w:tc>
        <w:tc>
          <w:tcPr>
            <w:tcW w:type="dxa" w:w="30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写入新内容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生成新向量并更新索引</w:t>
            </w:r>
          </w:p>
        </w:tc>
      </w:tr>
      <w:tr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只有价格、库存改变</w:t>
            </w:r>
          </w:p>
        </w:tc>
        <w:tc>
          <w:tcPr>
            <w:tcW w:type="dxa" w:w="30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更新对应业务字段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保留向量；若这些字段仍参与过滤，则同步更新过滤字段</w:t>
            </w:r>
          </w:p>
        </w:tc>
      </w:tr>
      <w:tr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商品下架</w:t>
            </w:r>
          </w:p>
        </w:tc>
        <w:tc>
          <w:tcPr>
            <w:tcW w:type="dxa" w:w="30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标记不可售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从可检索候选中移除</w:t>
            </w:r>
          </w:p>
        </w:tc>
      </w:tr>
    </w:tbl>
    <w:p/>
    <w:p>
      <w:pPr>
        <w:pStyle w:val="ListBullet"/>
        <w:ind w:left="369"/>
      </w:pPr>
      <w:r>
        <w:t>快速判断文本是否变化：对 Product.searchable_text() 的完整返回值计算 hash，与上次向量生成时保存的 hash 比较；hash 不变则复用已有向量。</w:t>
      </w:r>
    </w:p>
    <w:p>
      <w:pPr>
        <w:pStyle w:val="ListBullet"/>
        <w:ind w:left="369"/>
      </w:pPr>
      <w:r>
        <w:t>同时记录 embedding 模型版本。即使文本不变，只要 embedding 模型版本改变，也需要重新编码，以保证商品向量与查询向量在同一表示空间。</w:t>
      </w:r>
    </w:p>
    <w:p>
      <w:pPr>
        <w:pStyle w:val="ListBullet"/>
        <w:ind w:left="369"/>
      </w:pPr>
      <w:r>
        <w:t>批次记录 source_updated_at、采购批次与 ingested_at。只有商品库与索引都更新成功后，才把该记录标记为完成；失败则保留待重试状态。</w:t>
      </w:r>
    </w:p>
    <w:p>
      <w:pPr>
        <w:pStyle w:val="Heading1"/>
      </w:pPr>
      <w:r>
        <w:t>3、数据格式同构处理</w:t>
      </w:r>
    </w:p>
    <w:p>
      <w:pPr>
        <w:pStyle w:val="Heading2"/>
      </w:pPr>
      <w:r>
        <w:t>3.1 问题：四平台 schema 天差地别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差异维度</w:t>
            </w:r>
          </w:p>
        </w:tc>
        <w:tc>
          <w:tcPr>
            <w:tcW w:type="dxa" w:w="680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例子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字段名</w:t>
            </w:r>
          </w:p>
        </w:tc>
        <w:tc>
          <w:tcPr>
            <w:tcW w:type="dxa" w:w="680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标题可能叫 title / item_name / product_title / name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币种</w:t>
            </w:r>
          </w:p>
        </w:tc>
        <w:tc>
          <w:tcPr>
            <w:tcW w:type="dxa" w:w="680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USD / SGD / USD / USD；部分字段带符号，部分不带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单位</w:t>
            </w:r>
          </w:p>
        </w:tc>
        <w:tc>
          <w:tcPr>
            <w:tcW w:type="dxa" w:w="680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重量 lb vs kg；尺寸 inch vs cm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类目体系</w:t>
            </w:r>
          </w:p>
        </w:tc>
        <w:tc>
          <w:tcPr>
            <w:tcW w:type="dxa" w:w="680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四套完全不同的类目树，同一商品挂在不同深度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评分制</w:t>
            </w:r>
          </w:p>
        </w:tc>
        <w:tc>
          <w:tcPr>
            <w:tcW w:type="dxa" w:w="680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5 分制 / 5 星制 / 百分比好评率</w:t>
            </w:r>
          </w:p>
        </w:tc>
      </w:tr>
    </w:tbl>
    <w:p/>
    <w:p>
      <w:r>
        <w:t>如果不做同构，下游每个消费者（product_search / 到手价计算 / 双塔召回 / RAG）都必须适配四套 schema，代码会迅速膨胀且口径漂移。</w:t>
      </w:r>
    </w:p>
    <w:p>
      <w:pPr>
        <w:pStyle w:val="Heading2"/>
      </w:pPr>
      <w:r>
        <w:t>3.2 统一商品 Schema：StandardItem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6F8FA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CodeBlock"/>
            </w:pPr>
            <w:r>
              <w:rPr>
                <w:rFonts w:ascii="DejaVu Sans Mono" w:hAnsi="DejaVu Sans Mono"/>
                <w:sz w:val="17"/>
              </w:rPr>
              <w:t># pipelines/schema.py</w:t>
              <w:br/>
            </w:r>
            <w:r>
              <w:rPr>
                <w:rFonts w:ascii="DejaVu Sans Mono" w:hAnsi="DejaVu Sans Mono"/>
                <w:sz w:val="17"/>
              </w:rPr>
              <w:t>from pydantic import BaseModel, Field</w:t>
              <w:br/>
            </w:r>
            <w:r>
              <w:rPr>
                <w:rFonts w:ascii="DejaVu Sans Mono" w:hAnsi="DejaVu Sans Mono"/>
                <w:sz w:val="17"/>
              </w:rPr>
              <w:t>from datetime import datetime</w:t>
              <w:br/>
            </w:r>
            <w:r>
              <w:rPr>
                <w:rFonts w:ascii="DejaVu Sans Mono" w:hAnsi="DejaVu Sans Mono"/>
                <w:sz w:val="17"/>
              </w:rPr>
              <w:br/>
            </w:r>
            <w:r>
              <w:rPr>
                <w:rFonts w:ascii="DejaVu Sans Mono" w:hAnsi="DejaVu Sans Mono"/>
                <w:sz w:val="17"/>
              </w:rPr>
              <w:t>class StandardItem(BaseModel):</w:t>
              <w:br/>
            </w:r>
            <w:r>
              <w:rPr>
                <w:rFonts w:ascii="DejaVu Sans Mono" w:hAnsi="DejaVu Sans Mono"/>
                <w:sz w:val="17"/>
              </w:rPr>
              <w:t xml:space="preserve">    """全平台统一商品模型——下游所有消费者只认这个 schema。"""</w:t>
              <w:br/>
            </w:r>
            <w:r>
              <w:rPr>
                <w:rFonts w:ascii="DejaVu Sans Mono" w:hAnsi="DejaVu Sans Mono"/>
                <w:sz w:val="17"/>
              </w:rPr>
              <w:t xml:space="preserve">    item_id: str                  # 全局唯一 ID: {platform}:{原平台ID}</w:t>
              <w:br/>
            </w:r>
            <w:r>
              <w:rPr>
                <w:rFonts w:ascii="DejaVu Sans Mono" w:hAnsi="DejaVu Sans Mono"/>
                <w:sz w:val="17"/>
              </w:rPr>
              <w:t xml:space="preserve">    platform: str                 # amazon / shopee / aliexpress / ebay</w:t>
              <w:br/>
            </w:r>
            <w:r>
              <w:rPr>
                <w:rFonts w:ascii="DejaVu Sans Mono" w:hAnsi="DejaVu Sans Mono"/>
                <w:sz w:val="17"/>
              </w:rPr>
              <w:t xml:space="preserve">    title: str</w:t>
              <w:br/>
            </w:r>
            <w:r>
              <w:rPr>
                <w:rFonts w:ascii="DejaVu Sans Mono" w:hAnsi="DejaVu Sans Mono"/>
                <w:sz w:val="17"/>
              </w:rPr>
              <w:t xml:space="preserve">    description: str = ""</w:t>
              <w:br/>
            </w:r>
            <w:r>
              <w:rPr>
                <w:rFonts w:ascii="DejaVu Sans Mono" w:hAnsi="DejaVu Sans Mono"/>
                <w:sz w:val="17"/>
              </w:rPr>
              <w:t xml:space="preserve">    brand: str | None = None</w:t>
              <w:br/>
            </w:r>
            <w:r>
              <w:rPr>
                <w:rFonts w:ascii="DejaVu Sans Mono" w:hAnsi="DejaVu Sans Mono"/>
                <w:sz w:val="17"/>
              </w:rPr>
              <w:t xml:space="preserve">    category_path: list[str]      # 统一类目树路径，如 ["箱包", "旅行收纳"]</w:t>
              <w:br/>
            </w:r>
            <w:r>
              <w:rPr>
                <w:rFonts w:ascii="DejaVu Sans Mono" w:hAnsi="DejaVu Sans Mono"/>
                <w:sz w:val="17"/>
              </w:rPr>
              <w:t xml:space="preserve">    price_cny: float              # 统一折算成人民币</w:t>
              <w:br/>
            </w:r>
            <w:r>
              <w:rPr>
                <w:rFonts w:ascii="DejaVu Sans Mono" w:hAnsi="DejaVu Sans Mono"/>
                <w:sz w:val="17"/>
              </w:rPr>
              <w:t xml:space="preserve">    original_price_cny: float | None = None</w:t>
              <w:br/>
            </w:r>
            <w:r>
              <w:rPr>
                <w:rFonts w:ascii="DejaVu Sans Mono" w:hAnsi="DejaVu Sans Mono"/>
                <w:sz w:val="17"/>
              </w:rPr>
              <w:t xml:space="preserve">    currency_raw: str             # 原始币种，便于追溯汇率</w:t>
              <w:br/>
            </w:r>
            <w:r>
              <w:rPr>
                <w:rFonts w:ascii="DejaVu Sans Mono" w:hAnsi="DejaVu Sans Mono"/>
                <w:sz w:val="17"/>
              </w:rPr>
              <w:t xml:space="preserve">    rating: float | None = None   # 统一为 5 分制</w:t>
              <w:br/>
            </w:r>
            <w:r>
              <w:rPr>
                <w:rFonts w:ascii="DejaVu Sans Mono" w:hAnsi="DejaVu Sans Mono"/>
                <w:sz w:val="17"/>
              </w:rPr>
              <w:t xml:space="preserve">    review_count: int = 0</w:t>
              <w:br/>
            </w:r>
            <w:r>
              <w:rPr>
                <w:rFonts w:ascii="DejaVu Sans Mono" w:hAnsi="DejaVu Sans Mono"/>
                <w:sz w:val="17"/>
              </w:rPr>
              <w:t xml:space="preserve">    attributes: dict = Field(default_factory=dict)</w:t>
              <w:br/>
            </w:r>
            <w:r>
              <w:rPr>
                <w:rFonts w:ascii="DejaVu Sans Mono" w:hAnsi="DejaVu Sans Mono"/>
                <w:sz w:val="17"/>
              </w:rPr>
              <w:t xml:space="preserve">    is_available: bool = True</w:t>
              <w:br/>
            </w:r>
            <w:r>
              <w:rPr>
                <w:rFonts w:ascii="DejaVu Sans Mono" w:hAnsi="DejaVu Sans Mono"/>
                <w:sz w:val="17"/>
              </w:rPr>
              <w:t xml:space="preserve">    source_updated_at: datetime   # 提供商侧数据更新时间</w:t>
              <w:br/>
            </w:r>
            <w:r>
              <w:rPr>
                <w:rFonts w:ascii="DejaVu Sans Mono" w:hAnsi="DejaVu Sans Mono"/>
                <w:sz w:val="17"/>
              </w:rPr>
              <w:t xml:space="preserve">    ingested_at: datetime         # 我方入库时间</w:t>
              <w:br/>
            </w:r>
          </w:p>
        </w:tc>
      </w:tr>
    </w:tbl>
    <w:p/>
    <w:p>
      <w:pPr>
        <w:pStyle w:val="ListBullet"/>
        <w:ind w:left="369"/>
      </w:pPr>
      <w:r>
        <w:t>item_id 带平台前缀，保证全局唯一；后续“输出审核不泄露内部 item_id”保护的就是这个对象。</w:t>
      </w:r>
    </w:p>
    <w:p>
      <w:pPr>
        <w:pStyle w:val="ListBullet"/>
        <w:ind w:left="369"/>
      </w:pPr>
      <w:r>
        <w:t>currency_raw 保留原始币种痕迹；发生汇率或换算异常时可以追溯，而不是只保留 price_cny。</w:t>
      </w:r>
    </w:p>
    <w:p>
      <w:pPr>
        <w:pStyle w:val="Heading2"/>
      </w:pPr>
      <w:r>
        <w:t>3.3 同构管线四步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6F8FA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CodeBlock"/>
            </w:pPr>
            <w:r>
              <w:rPr>
                <w:rFonts w:ascii="DejaVu Sans Mono" w:hAnsi="DejaVu Sans Mono"/>
                <w:sz w:val="17"/>
              </w:rPr>
              <w:t>原始数据包（四平台各自 schema）</w:t>
              <w:br/>
            </w:r>
            <w:r>
              <w:rPr>
                <w:rFonts w:ascii="DejaVu Sans Mono" w:hAnsi="DejaVu Sans Mono"/>
                <w:sz w:val="17"/>
              </w:rPr>
              <w:t xml:space="preserve">  → Step 1 字段映射：按平台映射表把原始字段名对到 StandardItem 字段</w:t>
              <w:br/>
            </w:r>
            <w:r>
              <w:rPr>
                <w:rFonts w:ascii="DejaVu Sans Mono" w:hAnsi="DejaVu Sans Mono"/>
                <w:sz w:val="17"/>
              </w:rPr>
              <w:t xml:space="preserve">  → Step 2 币种换算：按当日汇率统一折算 price_cny（保留原币种痕迹）</w:t>
              <w:br/>
            </w:r>
            <w:r>
              <w:rPr>
                <w:rFonts w:ascii="DejaVu Sans Mono" w:hAnsi="DejaVu Sans Mono"/>
                <w:sz w:val="17"/>
              </w:rPr>
              <w:t xml:space="preserve">  → Step 3 单位归一：lb→kg、inch→cm，评分统一为 5 分制</w:t>
              <w:br/>
            </w:r>
            <w:r>
              <w:rPr>
                <w:rFonts w:ascii="DejaVu Sans Mono" w:hAnsi="DejaVu Sans Mono"/>
                <w:sz w:val="17"/>
              </w:rPr>
              <w:t xml:space="preserve">  → Step 4 类目映射：平台类目 → Globex 统一类目树（人工维护映射表 + 未命中队列）</w:t>
              <w:br/>
            </w:r>
            <w:r>
              <w:rPr>
                <w:rFonts w:ascii="DejaVu Sans Mono" w:hAnsi="DejaVu Sans Mono"/>
                <w:sz w:val="17"/>
              </w:rPr>
              <w:t xml:space="preserve">  → 输出统一 StandardItem，交给下一节清洗</w:t>
              <w:br/>
            </w:r>
            <w:r>
              <w:rPr>
                <w:rFonts w:ascii="DejaVu Sans Mono" w:hAnsi="DejaVu Sans Mono"/>
                <w:sz w:val="17"/>
              </w:rPr>
              <w:t xml:space="preserve">  → 校验通过后按 ID 更新商品库，并按 §2.3 的变化规则更新索引</w:t>
              <w:br/>
            </w:r>
          </w:p>
        </w:tc>
      </w:tr>
    </w:tbl>
    <w:p/>
    <w:p>
      <w:pPr>
        <w:pStyle w:val="Heading2"/>
      </w:pPr>
      <w:r>
        <w:t>3.4 映射规则配置化</w:t>
      </w:r>
    </w:p>
    <w:p>
      <w:r>
        <w:t>字段和类目映射不写死在代码里，统一使用 YAML 维护。供应商 schema 升级时只改配置，不改核心代码。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6F8FA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CodeBlock"/>
            </w:pPr>
            <w:r>
              <w:rPr>
                <w:rFonts w:ascii="DejaVu Sans Mono" w:hAnsi="DejaVu Sans Mono"/>
                <w:sz w:val="17"/>
              </w:rPr>
              <w:t># pipelines/mapping/amazon.yml</w:t>
              <w:br/>
            </w:r>
            <w:r>
              <w:rPr>
                <w:rFonts w:ascii="DejaVu Sans Mono" w:hAnsi="DejaVu Sans Mono"/>
                <w:sz w:val="17"/>
              </w:rPr>
              <w:t>field_mapping:</w:t>
              <w:br/>
            </w:r>
            <w:r>
              <w:rPr>
                <w:rFonts w:ascii="DejaVu Sans Mono" w:hAnsi="DejaVu Sans Mono"/>
                <w:sz w:val="17"/>
              </w:rPr>
              <w:t xml:space="preserve">  item_name: title</w:t>
              <w:br/>
            </w:r>
            <w:r>
              <w:rPr>
                <w:rFonts w:ascii="DejaVu Sans Mono" w:hAnsi="DejaVu Sans Mono"/>
                <w:sz w:val="17"/>
              </w:rPr>
              <w:t xml:space="preserve">  product_desc: description</w:t>
              <w:br/>
            </w:r>
            <w:r>
              <w:rPr>
                <w:rFonts w:ascii="DejaVu Sans Mono" w:hAnsi="DejaVu Sans Mono"/>
                <w:sz w:val="17"/>
              </w:rPr>
              <w:t xml:space="preserve">  star_rating: rating      # 5 星制，无需转换</w:t>
              <w:br/>
            </w:r>
            <w:r>
              <w:rPr>
                <w:rFonts w:ascii="DejaVu Sans Mono" w:hAnsi="DejaVu Sans Mono"/>
                <w:sz w:val="17"/>
              </w:rPr>
              <w:t xml:space="preserve">  list_price: original_price</w:t>
              <w:br/>
            </w:r>
            <w:r>
              <w:rPr>
                <w:rFonts w:ascii="DejaVu Sans Mono" w:hAnsi="DejaVu Sans Mono"/>
                <w:sz w:val="17"/>
              </w:rPr>
              <w:br/>
            </w:r>
            <w:r>
              <w:rPr>
                <w:rFonts w:ascii="DejaVu Sans Mono" w:hAnsi="DejaVu Sans Mono"/>
                <w:sz w:val="17"/>
              </w:rPr>
              <w:t>category_mapping:</w:t>
              <w:br/>
            </w:r>
            <w:r>
              <w:rPr>
                <w:rFonts w:ascii="DejaVu Sans Mono" w:hAnsi="DejaVu Sans Mono"/>
                <w:sz w:val="17"/>
              </w:rPr>
              <w:t xml:space="preserve">  "Luggage &amp; Travel Gear &gt; Packing Organizers": ["箱包", "旅行收纳"]</w:t>
              <w:br/>
            </w:r>
            <w:r>
              <w:rPr>
                <w:rFonts w:ascii="DejaVu Sans Mono" w:hAnsi="DejaVu Sans Mono"/>
                <w:sz w:val="17"/>
              </w:rPr>
              <w:t xml:space="preserve">  "Home &amp; Kitchen &gt; Kitchen &amp; Dining &gt; Barware": ["家居", "酒具"]</w:t>
              <w:br/>
            </w:r>
          </w:p>
        </w:tc>
      </w:tr>
    </w:tbl>
    <w:p/>
    <w:p>
      <w:pPr>
        <w:pStyle w:val="Heading1"/>
      </w:pPr>
      <w:r>
        <w:t>4、清洗：从“能入库”到“能用”</w:t>
      </w:r>
    </w:p>
    <w:p>
      <w:r>
        <w:t>同构解决“格式统一”，清洗解决“质量达标”。核心工序是：去重 → 异常 / 缺失处理 → 无效商品过滤 → 质量分级。</w:t>
      </w:r>
    </w:p>
    <w:p>
      <w:pPr>
        <w:pStyle w:val="Heading2"/>
      </w:pPr>
      <w:r>
        <w:t>4.1 去重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23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重复类型</w:t>
            </w:r>
          </w:p>
        </w:tc>
        <w:tc>
          <w:tcPr>
            <w:tcW w:type="dxa" w:w="323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判定</w:t>
            </w:r>
          </w:p>
        </w:tc>
        <w:tc>
          <w:tcPr>
            <w:tcW w:type="dxa" w:w="351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处理</w:t>
            </w:r>
          </w:p>
        </w:tc>
      </w:tr>
      <w:tr>
        <w:tc>
          <w:tcPr>
            <w:tcW w:type="dxa" w:w="23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同平台同款多链接</w:t>
            </w:r>
          </w:p>
        </w:tc>
        <w:tc>
          <w:tcPr>
            <w:tcW w:type="dxa" w:w="323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标题 + 品牌 + 规格指纹相同</w:t>
            </w:r>
          </w:p>
        </w:tc>
        <w:tc>
          <w:tcPr>
            <w:tcW w:type="dxa" w:w="351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保留评分高 / 更新新的那条</w:t>
            </w:r>
          </w:p>
        </w:tc>
      </w:tr>
      <w:tr>
        <w:tc>
          <w:tcPr>
            <w:tcW w:type="dxa" w:w="23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跨平台同款</w:t>
            </w:r>
          </w:p>
        </w:tc>
        <w:tc>
          <w:tcPr>
            <w:tcW w:type="dxa" w:w="323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指纹相似度 &gt; 阈值</w:t>
            </w:r>
          </w:p>
        </w:tc>
        <w:tc>
          <w:tcPr>
            <w:tcW w:type="dxa" w:w="351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不合并，打 same_group_id 关联；保留“同款不同来源”的比价对象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FF8E6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</w:rPr>
              <w:t>关键区别：</w:t>
            </w:r>
            <w:r>
              <w:t>跨平台同款是“关联”而不是“去重”。电商比价必须保留来源差异，否则失去对照对象。</w:t>
            </w:r>
          </w:p>
        </w:tc>
      </w:tr>
    </w:tbl>
    <w:p/>
    <w:p>
      <w:pPr>
        <w:pStyle w:val="Heading2"/>
      </w:pPr>
      <w:r>
        <w:t>4.2 异常值与缺失值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问题</w:t>
            </w:r>
          </w:p>
        </w:tc>
        <w:tc>
          <w:tcPr>
            <w:tcW w:type="dxa" w:w="351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规则</w:t>
            </w:r>
          </w:p>
        </w:tc>
        <w:tc>
          <w:tcPr>
            <w:tcW w:type="dxa" w:w="32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处理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价格异常</w:t>
            </w:r>
          </w:p>
        </w:tc>
        <w:tc>
          <w:tcPr>
            <w:tcW w:type="dxa" w:w="351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price &lt;= 0，或偏离同类目中位数 50 倍以上</w:t>
            </w:r>
          </w:p>
        </w:tc>
        <w:tc>
          <w:tcPr>
            <w:tcW w:type="dxa" w:w="32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隔离到待核查区，不入线上库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关键字段缺失</w:t>
            </w:r>
          </w:p>
        </w:tc>
        <w:tc>
          <w:tcPr>
            <w:tcW w:type="dxa" w:w="351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无标题 / 无价格 / 无类目</w:t>
            </w:r>
          </w:p>
        </w:tc>
        <w:tc>
          <w:tcPr>
            <w:tcW w:type="dxa" w:w="32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直接丢弃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次要字段缺失</w:t>
            </w:r>
          </w:p>
        </w:tc>
        <w:tc>
          <w:tcPr>
            <w:tcW w:type="dxa" w:w="351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无品牌 / 无评分</w:t>
            </w:r>
          </w:p>
        </w:tc>
        <w:tc>
          <w:tcPr>
            <w:tcW w:type="dxa" w:w="32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保留，字段置 None（StandardItem 已允许）</w:t>
            </w:r>
          </w:p>
        </w:tc>
      </w:tr>
    </w:tbl>
    <w:p/>
    <w:p>
      <w:pPr>
        <w:pStyle w:val="Heading2"/>
      </w:pPr>
      <w:r>
        <w:t>4.3 无效商品过滤</w:t>
      </w:r>
    </w:p>
    <w:p>
      <w:pPr>
        <w:pStyle w:val="ListBullet"/>
        <w:ind w:left="369"/>
      </w:pPr>
      <w:r>
        <w:t>已下架 / 长期无货（is_available=False 且超过 N 天）→ 移出线上可检索库。</w:t>
      </w:r>
    </w:p>
    <w:p>
      <w:pPr>
        <w:pStyle w:val="ListBullet"/>
        <w:ind w:left="369"/>
      </w:pPr>
      <w:r>
        <w:t>违禁 / 敏感类目按类目黑名单在入库前过滤，从数据源头就不让禁品进入检索范围。</w:t>
      </w:r>
    </w:p>
    <w:p>
      <w:pPr>
        <w:pStyle w:val="Heading2"/>
      </w:pPr>
      <w:r>
        <w:t>4.4 质量分级与准入</w:t>
      </w:r>
    </w:p>
    <w:p>
      <w:r>
        <w:t>每条 StandardItem 计算质量分（字段完整度 + 数据新鲜度 + 评价可信度），再分三档：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</w:trP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档位</w:t>
            </w:r>
          </w:p>
        </w:tc>
        <w:tc>
          <w:tcPr>
            <w:tcW w:type="dxa" w:w="62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去向</w:t>
            </w:r>
          </w:p>
        </w:tc>
      </w:tr>
      <w:t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A（完整新鲜）</w:t>
            </w:r>
          </w:p>
        </w:tc>
        <w:tc>
          <w:tcPr>
            <w:tcW w:type="dxa" w:w="62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写入商品库，并更新 Qdrant 检索索引</w:t>
            </w:r>
          </w:p>
        </w:tc>
      </w:tr>
      <w:t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B（可用但有缺 field）</w:t>
            </w:r>
          </w:p>
        </w:tc>
        <w:tc>
          <w:tcPr>
            <w:tcW w:type="dxa" w:w="62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进入线上库，但在检索排序中降权</w:t>
            </w:r>
          </w:p>
        </w:tc>
      </w:tr>
      <w:t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C（不达标）</w:t>
            </w:r>
          </w:p>
        </w:tc>
        <w:tc>
          <w:tcPr>
            <w:tcW w:type="dxa" w:w="62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只保留离线库，不进入线上检索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EEF4FB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</w:rPr>
              <w:t>准入门槛的意义：</w:t>
            </w:r>
            <w:r>
              <w:t>product_search 返回的每一条商品，质量下限由数据底座保证，而不是靠 prompt 兜底。</w:t>
            </w:r>
          </w:p>
        </w:tc>
      </w:tr>
    </w:tbl>
    <w:p/>
    <w:p>
      <w:pPr>
        <w:pStyle w:val="Heading1"/>
      </w:pPr>
      <w:r>
        <w:t>5、数据回流：线上用出来的数据流回来</w:t>
      </w:r>
    </w:p>
    <w:p>
      <w:r>
        <w:t>采购数据是“静态输入”，Globex 是持续运行的 Agent。线上使用会产生新的高价值信号，因此必须设计回流。</w:t>
      </w:r>
    </w:p>
    <w:p>
      <w:pPr>
        <w:pStyle w:val="Heading2"/>
      </w:pPr>
      <w:r>
        <w:t>5.1 回流什么、回到哪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线上产生的数据</w:t>
            </w:r>
          </w:p>
        </w:tc>
        <w:tc>
          <w:tcPr>
            <w:tcW w:type="dxa" w:w="272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回流去向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消费者</w:t>
            </w:r>
          </w:p>
        </w:tc>
      </w:tr>
      <w:tr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各来源数据包的交付、ETL 成功率，以及入库商品的检索表现</w:t>
            </w:r>
          </w:p>
        </w:tc>
        <w:tc>
          <w:tcPr>
            <w:tcW w:type="dxa" w:w="272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来源质量与覆盖指标表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采购决策：补充覆盖、处理质量问题</w:t>
            </w:r>
          </w:p>
        </w:tc>
      </w:tr>
      <w:tr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主 Agent 精挑选中 / 最终推荐</w:t>
            </w:r>
          </w:p>
        </w:tc>
        <w:tc>
          <w:tcPr>
            <w:tcW w:type="dxa" w:w="272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品类热度与转化信号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品类榜（供 category_insight）、Store 用户偏好写入、双塔召回训练样本</w:t>
            </w:r>
          </w:p>
        </w:tc>
      </w:tr>
      <w:tr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检索无结果 / 结果差的 query</w:t>
            </w:r>
          </w:p>
        </w:tc>
        <w:tc>
          <w:tcPr>
            <w:tcW w:type="dxa" w:w="272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数据覆盖缺口清单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指导下一期采购范围谈判：缺什么类目补什么</w:t>
            </w:r>
          </w:p>
        </w:tc>
      </w:tr>
      <w:tr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Rubric 低分轨迹</w:t>
            </w:r>
          </w:p>
        </w:tc>
        <w:tc>
          <w:tcPr>
            <w:tcW w:type="dxa" w:w="272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bad case 池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18-2 数据飞轮：供 SFT / RL 训练使用</w:t>
            </w:r>
          </w:p>
        </w:tc>
      </w:tr>
    </w:tbl>
    <w:p/>
    <w:p>
      <w:pPr>
        <w:pStyle w:val="Heading2"/>
      </w:pPr>
      <w:r>
        <w:t>5.2 回流链路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6F8FA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CodeBlock"/>
            </w:pPr>
            <w:r>
              <w:rPr>
                <w:rFonts w:ascii="DejaVu Sans Mono" w:hAnsi="DejaVu Sans Mono"/>
                <w:sz w:val="17"/>
              </w:rPr>
              <w:t>线上 trace 日志（LangFuse + TRACE_LOG_DIR）</w:t>
              <w:br/>
            </w:r>
            <w:r>
              <w:rPr>
                <w:rFonts w:ascii="DejaVu Sans Mono" w:hAnsi="DejaVu Sans Mono"/>
                <w:sz w:val="17"/>
              </w:rPr>
              <w:t xml:space="preserve">  → 天级离线 ETL（解析 trace，抽取工具调用 / 选中 / 评分事件）</w:t>
              <w:br/>
            </w:r>
            <w:r>
              <w:rPr>
                <w:rFonts w:ascii="DejaVu Sans Mono" w:hAnsi="DejaVu Sans Mono"/>
                <w:sz w:val="17"/>
              </w:rPr>
              <w:t xml:space="preserve">  → 写入指标层（§6 的 ADS 表）</w:t>
              <w:br/>
            </w:r>
            <w:r>
              <w:rPr>
                <w:rFonts w:ascii="DejaVu Sans Mono" w:hAnsi="DejaVu Sans Mono"/>
                <w:sz w:val="17"/>
              </w:rPr>
              <w:t xml:space="preserve">  → 各消费者读取（category_insight / 采购决策 / 训练飞轮）</w:t>
              <w:br/>
            </w:r>
          </w:p>
        </w:tc>
      </w:tr>
    </w:tbl>
    <w:p/>
    <w:p>
      <w:r>
        <w:t>回流不需要新建独立采集系统。已有全链路 trace 已经把事件记录下来，回流只是再做一段离线 ETL，把事件从日志转换成结构化表。</w:t>
      </w:r>
    </w:p>
    <w:p>
      <w:pPr>
        <w:pStyle w:val="Heading1"/>
      </w:pPr>
      <w:r>
        <w:t>6、指标加工流程</w:t>
      </w:r>
    </w:p>
    <w:p>
      <w:pPr>
        <w:pStyle w:val="Heading2"/>
      </w:pPr>
      <w:r>
        <w:t>6.1 三层数据模型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rPr>
          <w:tblHeader w:val="true"/>
        </w:trPr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层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名称</w:t>
            </w:r>
          </w:p>
        </w:tc>
        <w:tc>
          <w:tcPr>
            <w:tcW w:type="dxa" w:w="48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放什么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更新</w:t>
            </w:r>
          </w:p>
        </w:tc>
      </w:tr>
      <w:tr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ODS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原始层</w:t>
            </w:r>
          </w:p>
        </w:tc>
        <w:tc>
          <w:tcPr>
            <w:tcW w:type="dxa" w:w="48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采购数据包原样落地（含 raw 字段），不做任何修改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随采购交付</w:t>
            </w:r>
          </w:p>
        </w:tc>
      </w:tr>
      <w:tr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DWD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明细层</w:t>
            </w:r>
          </w:p>
        </w:tc>
        <w:tc>
          <w:tcPr>
            <w:tcW w:type="dxa" w:w="48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同构（§3）+ 清洗（§4）后的 StandardItem 明细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每日增量，随批次修复</w:t>
            </w:r>
          </w:p>
        </w:tc>
      </w:tr>
      <w:tr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ADS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指标层</w:t>
            </w:r>
          </w:p>
        </w:tc>
        <w:tc>
          <w:tcPr>
            <w:tcW w:type="dxa" w:w="48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面向消费者的聚合指标表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天级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EEF4FB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</w:rPr>
              <w:t>ODS 原样保留的意义：</w:t>
            </w:r>
            <w:r>
              <w:t>同构 / 清洗逻辑发现 bug 时，可以直接从 ODS 重跑全量，而无需让供应商重新交付。</w:t>
            </w:r>
          </w:p>
        </w:tc>
      </w:tr>
    </w:tbl>
    <w:p/>
    <w:p>
      <w:pPr>
        <w:pStyle w:val="Heading2"/>
      </w:pPr>
      <w:r>
        <w:t>6.2 关键指标与消费者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ADS 指标表</w:t>
            </w:r>
          </w:p>
        </w:tc>
        <w:tc>
          <w:tcPr>
            <w:tcW w:type="dxa" w:w="36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加工逻辑</w:t>
            </w:r>
          </w:p>
        </w:tc>
        <w:tc>
          <w:tcPr>
            <w:tcW w:type="dxa" w:w="317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谁在消费</w:t>
            </w:r>
          </w:p>
        </w:tc>
      </w:tr>
      <w:tr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品类爆款榜</w:t>
            </w:r>
          </w:p>
        </w:tc>
        <w:tc>
          <w:tcPr>
            <w:tcW w:type="dxa" w:w="36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按统一类目聚合销量信号 + 线上选中回流，取 TopN</w:t>
            </w:r>
          </w:p>
        </w:tc>
        <w:tc>
          <w:tcPr>
            <w:tcW w:type="dxa" w:w="317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category_insight（13 章知识库的数据来源之一）</w:t>
            </w:r>
          </w:p>
        </w:tc>
      </w:tr>
      <w:tr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品类价格区间分布</w:t>
            </w:r>
          </w:p>
        </w:tc>
        <w:tc>
          <w:tcPr>
            <w:tcW w:type="dxa" w:w="36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按类目计算价格分位数 P25 / P50 / P75</w:t>
            </w:r>
          </w:p>
        </w:tc>
        <w:tc>
          <w:tcPr>
            <w:tcW w:type="dxa" w:w="317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形成带来源与日期的知识文档，供品类知识库检索和 Agent 解释</w:t>
            </w:r>
          </w:p>
        </w:tc>
      </w:tr>
      <w:tr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来源数据成功率</w:t>
            </w:r>
          </w:p>
        </w:tc>
        <w:tc>
          <w:tcPr>
            <w:tcW w:type="dxa" w:w="36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各来源数据批次交付及 ETL 成功率</w:t>
            </w:r>
          </w:p>
        </w:tc>
        <w:tc>
          <w:tcPr>
            <w:tcW w:type="dxa" w:w="317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采购决策与数据调度告警</w:t>
            </w:r>
          </w:p>
        </w:tc>
      </w:tr>
      <w:tr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商品评分聚合</w:t>
            </w:r>
          </w:p>
        </w:tc>
        <w:tc>
          <w:tcPr>
            <w:tcW w:type="dxa" w:w="36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跨来源同款（same_group_id）的评分对齐</w:t>
            </w:r>
          </w:p>
        </w:tc>
        <w:tc>
          <w:tcPr>
            <w:tcW w:type="dxa" w:w="317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同款比价、主 Agent 精挑</w:t>
            </w:r>
          </w:p>
        </w:tc>
      </w:tr>
    </w:tbl>
    <w:p/>
    <w:p>
      <w:pPr>
        <w:pStyle w:val="Heading2"/>
      </w:pPr>
      <w:r>
        <w:t>6.3 调度节奏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6F8FA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CodeBlock"/>
            </w:pPr>
            <w:r>
              <w:rPr>
                <w:rFonts w:ascii="DejaVu Sans Mono" w:hAnsi="DejaVu Sans Mono"/>
                <w:sz w:val="17"/>
              </w:rPr>
              <w:t>每日低峰：采购增量包 → 同构清洗 / 校验 → 商品库按 ID 更新</w:t>
              <w:br/>
            </w:r>
            <w:r>
              <w:rPr>
                <w:rFonts w:ascii="DejaVu Sans Mono" w:hAnsi="DejaVu Sans Mono"/>
                <w:sz w:val="17"/>
              </w:rPr>
              <w:t xml:space="preserve">          → searchable_text() 的 hash 或 embedding 模型版本变化 → 重算并更新向量</w:t>
              <w:br/>
            </w:r>
            <w:r>
              <w:rPr>
                <w:rFonts w:ascii="DejaVu Sans Mono" w:hAnsi="DejaVu Sans Mono"/>
                <w:sz w:val="17"/>
              </w:rPr>
              <w:t xml:space="preserve">          → 仅价格库存变化 → 更新业务字段；下架同步退出候选</w:t>
              <w:br/>
            </w:r>
            <w:r>
              <w:rPr>
                <w:rFonts w:ascii="DejaVu Sans Mono" w:hAnsi="DejaVu Sans Mono"/>
                <w:sz w:val="17"/>
              </w:rPr>
              <w:t xml:space="preserve">          → 回流 ETL（trace → ADS 指标表）</w:t>
              <w:br/>
            </w:r>
            <w:r>
              <w:rPr>
                <w:rFonts w:ascii="DejaVu Sans Mono" w:hAnsi="DejaVu Sans Mono"/>
                <w:sz w:val="17"/>
              </w:rPr>
              <w:t>定期全量对账：发现漏增量和索引不同步，生成可重试修复任务</w:t>
              <w:br/>
            </w:r>
            <w:r>
              <w:rPr>
                <w:rFonts w:ascii="DejaVu Sans Mono" w:hAnsi="DejaVu Sans Mono"/>
                <w:sz w:val="17"/>
              </w:rPr>
              <w:t>周级：类目树对账 + 数据覆盖缺口报告（指导采购）</w:t>
              <w:br/>
            </w:r>
          </w:p>
        </w:tc>
      </w:tr>
    </w:tbl>
    <w:p/>
    <w:p>
      <w:pPr>
        <w:pStyle w:val="Heading1"/>
      </w:pPr>
      <w:r>
        <w:t>7、全链路数据流总览</w:t>
      </w:r>
    </w:p>
    <w:p>
      <w:r>
        <w:t>从采购包到工具消费，再从线上 trace 回到指标层，最后反哺下一批采购与训练。这一章真正要建立的是“持续更新的数据底座”。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23858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1_full_pipe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385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mall"/>
        <w:jc w:val="center"/>
      </w:pPr>
      <w:r>
        <w:t>图 1  多平台商品数据全链路：供给、反馈与采购优化三个闭环</w:t>
      </w:r>
    </w:p>
    <w:p>
      <w:pPr>
        <w:ind w:left="227" w:hanging="198"/>
      </w:pPr>
      <w:r>
        <w:rPr>
          <w:b/>
        </w:rPr>
        <w:t xml:space="preserve">1. </w:t>
      </w:r>
      <w:r>
        <w:t>供给闭环：采购 → 同构清洗 → 入库 → 工具消费。</w:t>
      </w:r>
    </w:p>
    <w:p>
      <w:pPr>
        <w:ind w:left="227" w:hanging="198"/>
      </w:pPr>
      <w:r>
        <w:rPr>
          <w:b/>
        </w:rPr>
        <w:t xml:space="preserve">2. </w:t>
      </w:r>
      <w:r>
        <w:t>反馈闭环：工具使用 → trace 回流 → 指标 → 反哺品类洞察和采购策略。</w:t>
      </w:r>
    </w:p>
    <w:p>
      <w:pPr>
        <w:ind w:left="227" w:hanging="198"/>
      </w:pPr>
      <w:r>
        <w:rPr>
          <w:b/>
        </w:rPr>
        <w:t xml:space="preserve">3. </w:t>
      </w:r>
      <w:r>
        <w:t>采购优化闭环：覆盖缺口报告 → 指导下一期采购范围。</w:t>
      </w:r>
    </w:p>
    <w:p>
      <w:r>
        <w:br w:type="page"/>
      </w:r>
    </w:p>
    <w:p>
      <w:pPr>
        <w:pStyle w:val="Heading1"/>
      </w:pPr>
      <w:r>
        <w:t>8、反模式清单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28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反模式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后果</w:t>
            </w:r>
          </w:p>
        </w:tc>
        <w:tc>
          <w:tcPr>
            <w:tcW w:type="dxa" w:w="32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正确做法</w:t>
            </w:r>
          </w:p>
        </w:tc>
      </w:tr>
      <w:tr>
        <w:tc>
          <w:tcPr>
            <w:tcW w:type="dxa" w:w="28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自建爬虫抓平台数据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法律风险 + 反爬对抗无底洞</w:t>
            </w:r>
          </w:p>
        </w:tc>
        <w:tc>
          <w:tcPr>
            <w:tcW w:type="dxa" w:w="32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合规数据提供商采购（§1）</w:t>
            </w:r>
          </w:p>
        </w:tc>
      </w:tr>
      <w:tr>
        <w:tc>
          <w:tcPr>
            <w:tcW w:type="dxa" w:w="28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采购评论原文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隐私合规风险</w:t>
            </w:r>
          </w:p>
        </w:tc>
        <w:tc>
          <w:tcPr>
            <w:tcW w:type="dxa" w:w="32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只采购聚合统计（§2.1）</w:t>
            </w:r>
          </w:p>
        </w:tc>
      </w:tr>
      <w:tr>
        <w:tc>
          <w:tcPr>
            <w:tcW w:type="dxa" w:w="28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下游各自适配四套 schema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每个消费者重复造轮子、口径漂移</w:t>
            </w:r>
          </w:p>
        </w:tc>
        <w:tc>
          <w:tcPr>
            <w:tcW w:type="dxa" w:w="32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统一 StandardItem，下游只认它（§3）</w:t>
            </w:r>
          </w:p>
        </w:tc>
      </w:tr>
      <w:tr>
        <w:tc>
          <w:tcPr>
            <w:tcW w:type="dxa" w:w="28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跨来源同款直接去重合并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比价失去对照对象</w:t>
            </w:r>
          </w:p>
        </w:tc>
        <w:tc>
          <w:tcPr>
            <w:tcW w:type="dxa" w:w="32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关联 same_group_id 而不合并（§4.1）</w:t>
            </w:r>
          </w:p>
        </w:tc>
      </w:tr>
      <w:tr>
        <w:tc>
          <w:tcPr>
            <w:tcW w:type="dxa" w:w="28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映射规则写死在代码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供应商 schema 升级就要发版</w:t>
            </w:r>
          </w:p>
        </w:tc>
        <w:tc>
          <w:tcPr>
            <w:tcW w:type="dxa" w:w="32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YAML 配置化（§3.4）</w:t>
            </w:r>
          </w:p>
        </w:tc>
      </w:tr>
      <w:tr>
        <w:tc>
          <w:tcPr>
            <w:tcW w:type="dxa" w:w="28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不留 ODS 原始层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清洗逻辑出 bug 无法重跑</w:t>
            </w:r>
          </w:p>
        </w:tc>
        <w:tc>
          <w:tcPr>
            <w:tcW w:type="dxa" w:w="32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ODS 原样保留（§6.1）</w:t>
            </w:r>
          </w:p>
        </w:tc>
      </w:tr>
      <w:tr>
        <w:tc>
          <w:tcPr>
            <w:tcW w:type="dxa" w:w="28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全量数据小时级更新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采购成本爆炸</w:t>
            </w:r>
          </w:p>
        </w:tc>
        <w:tc>
          <w:tcPr>
            <w:tcW w:type="dxa" w:w="32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按保鲜要求分层定频（§2.3）</w:t>
            </w:r>
          </w:p>
        </w:tc>
      </w:tr>
      <w:tr>
        <w:tc>
          <w:tcPr>
            <w:tcW w:type="dxa" w:w="28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只进不出、没有回流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数据底座成为死水，缺口长期补不上</w:t>
            </w:r>
          </w:p>
        </w:tc>
        <w:tc>
          <w:tcPr>
            <w:tcW w:type="dxa" w:w="32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trace → ETL → ADS 回流闭环（§5）</w:t>
            </w:r>
          </w:p>
        </w:tc>
      </w:tr>
    </w:tbl>
    <w:p/>
    <w:p>
      <w:pPr>
        <w:pStyle w:val="Heading1"/>
      </w:pPr>
      <w:r>
        <w:t>本章小结</w:t>
      </w:r>
    </w:p>
    <w:p>
      <w:pPr>
        <w:ind w:left="227" w:hanging="198"/>
      </w:pPr>
      <w:r>
        <w:rPr>
          <w:b/>
        </w:rPr>
        <w:t xml:space="preserve">1. </w:t>
      </w:r>
      <w:r>
        <w:t>来源口径：外部电商平台商品数据通过专业合规数据提供商采购，不自建爬虫、不直接依赖平台实时接口；合规重点是资质审查、合同范围、隐私和入库脱敏。</w:t>
      </w:r>
    </w:p>
    <w:p>
      <w:pPr>
        <w:ind w:left="227" w:hanging="198"/>
      </w:pPr>
      <w:r>
        <w:rPr>
          <w:b/>
        </w:rPr>
        <w:t xml:space="preserve">2. </w:t>
      </w:r>
      <w:r>
        <w:t>持续更新：首次全量建库，此后每日处理新增 / 修改 / 下架。只有 searchable_text() 或 embedding 模型版本改变时才重算向量；价格与库存变化只更新相关字段，定期全量对账补遗漏。</w:t>
      </w:r>
    </w:p>
    <w:p>
      <w:pPr>
        <w:ind w:left="227" w:hanging="198"/>
      </w:pPr>
      <w:r>
        <w:rPr>
          <w:b/>
        </w:rPr>
        <w:t xml:space="preserve">3. </w:t>
      </w:r>
      <w:r>
        <w:t>格式同构：四平台异构 schema 经“字段映射 → 币种换算 → 单位归一 → 类目映射”收敛为 StandardItem；映射规则 YAML 配置化。</w:t>
      </w:r>
    </w:p>
    <w:p>
      <w:pPr>
        <w:ind w:left="227" w:hanging="198"/>
      </w:pPr>
      <w:r>
        <w:rPr>
          <w:b/>
        </w:rPr>
        <w:t xml:space="preserve">4. </w:t>
      </w:r>
      <w:r>
        <w:t>清洗准入：同平台去重，跨平台同款只关联 same_group_id；异常价格隔离、违禁类目源头过滤，并通过 A / B / C 质量分级控制线上准入。</w:t>
      </w:r>
    </w:p>
    <w:p>
      <w:pPr>
        <w:ind w:left="227" w:hanging="198"/>
      </w:pPr>
      <w:r>
        <w:rPr>
          <w:b/>
        </w:rPr>
        <w:t xml:space="preserve">5. </w:t>
      </w:r>
      <w:r>
        <w:t>回流机制：复用线上 trace，天级 ETL 抽取成功率、选中、覆盖缺口和 bad case，反哺品类洞察、采购决策与 SFT / RL 训练飞轮。</w:t>
      </w:r>
    </w:p>
    <w:p>
      <w:pPr>
        <w:ind w:left="227" w:hanging="198"/>
      </w:pPr>
      <w:r>
        <w:rPr>
          <w:b/>
        </w:rPr>
        <w:t xml:space="preserve">6. </w:t>
      </w:r>
      <w:r>
        <w:t>指标加工：ODS 原样保留 → DWD 同构清洗明细 → ADS 聚合指标，输出爆款榜、价格分位数、来源成功率、评分聚合等可消费数据。</w:t>
      </w:r>
    </w:p>
    <w:sectPr w:rsidR="00FC693F" w:rsidRPr="0006063C" w:rsidSect="00034616">
      <w:footerReference w:type="default" r:id="rId10"/>
      <w:pgSz w:w="12240" w:h="15840"/>
      <w:pgMar w:top="907" w:right="992" w:bottom="907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28282"/>
        <w:sz w:val="16"/>
      </w:rPr>
      <w:t xml:space="preserve">09-1 多平台商品数据底座  | 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3232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32323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32323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60" w:line="252" w:lineRule="auto"/>
      <w:ind w:left="198" w:right="113"/>
    </w:pPr>
    <w:rPr>
      <w:rFonts w:ascii="DejaVu Sans Mono" w:hAnsi="DejaVu Sans Mono" w:eastAsia="Noto Sans Mono CJK SC"/>
      <w:color w:val="505050"/>
      <w:sz w:val="17"/>
    </w:rPr>
  </w:style>
  <w:style w:type="paragraph" w:customStyle="1" w:styleId="CaptionSmall">
    <w:name w:val="CaptionSmall"/>
    <w:pPr>
      <w:spacing w:after="80"/>
    </w:pPr>
    <w:rPr>
      <w:rFonts w:ascii="Noto Sans CJK SC" w:hAnsi="Noto Sans CJK SC" w:eastAsia="Noto Sans CJK SC"/>
      <w:color w:val="646464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09-1 多平台商品数据底座：合规采购、同构与指标加工</dc:title>
  <dc:subject>Globex Agent 项目教程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