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Arial" w:hAnsi="Arial"/>
          <w:b/>
          <w:color w:val="0F294A"/>
          <w:sz w:val="23"/>
        </w:rPr>
        <w:t>BẢNG ĐIỀU KHIỂN VẬN HÀNH (OPERATING DASHBOARD) — CURSUS AI</w:t>
      </w:r>
    </w:p>
    <w:p>
      <w:pPr>
        <w:spacing w:before="0" w:after="60"/>
      </w:pPr>
      <w:r>
        <w:rPr>
          <w:rFonts w:ascii="Arial" w:hAnsi="Arial"/>
          <w:b/>
          <w:i w:val="0"/>
          <w:color w:val="0F294A"/>
          <w:sz w:val="15"/>
        </w:rPr>
        <w:t xml:space="preserve">Học viên: </w:t>
      </w:r>
      <w:r>
        <w:rPr>
          <w:rFonts w:ascii="Arial" w:hAnsi="Arial"/>
          <w:b w:val="0"/>
          <w:i w:val="0"/>
          <w:color w:val="1F2937"/>
          <w:sz w:val="15"/>
        </w:rPr>
        <w:t xml:space="preserve">Trịnh Hải Đăng  |  </w:t>
      </w:r>
      <w:r>
        <w:rPr>
          <w:rFonts w:ascii="Arial" w:hAnsi="Arial"/>
          <w:b/>
          <w:i w:val="0"/>
          <w:color w:val="0F294A"/>
          <w:sz w:val="15"/>
        </w:rPr>
        <w:t xml:space="preserve">Mã học viên: </w:t>
      </w:r>
      <w:r>
        <w:rPr>
          <w:rFonts w:ascii="Arial" w:hAnsi="Arial"/>
          <w:b w:val="0"/>
          <w:i w:val="0"/>
          <w:color w:val="1F2937"/>
          <w:sz w:val="15"/>
        </w:rPr>
        <w:t xml:space="preserve">2A202601602  |  </w:t>
      </w:r>
      <w:r>
        <w:rPr>
          <w:rFonts w:ascii="Arial" w:hAnsi="Arial"/>
          <w:b/>
          <w:i w:val="0"/>
          <w:color w:val="0F294A"/>
          <w:sz w:val="15"/>
        </w:rPr>
        <w:t xml:space="preserve">Mô hình: </w:t>
      </w:r>
      <w:r>
        <w:rPr>
          <w:rFonts w:ascii="Arial" w:hAnsi="Arial"/>
          <w:b w:val="0"/>
          <w:i w:val="0"/>
          <w:color w:val="1F2937"/>
          <w:sz w:val="15"/>
        </w:rPr>
        <w:t xml:space="preserve">B2B Higher Education  |  </w:t>
      </w:r>
      <w:r>
        <w:rPr>
          <w:rFonts w:ascii="Arial" w:hAnsi="Arial"/>
          <w:b/>
          <w:i w:val="0"/>
          <w:color w:val="0F294A"/>
          <w:sz w:val="15"/>
        </w:rPr>
        <w:t xml:space="preserve">Cập nhật: </w:t>
      </w:r>
      <w:r>
        <w:rPr>
          <w:rFonts w:ascii="Arial" w:hAnsi="Arial"/>
          <w:b w:val="0"/>
          <w:i w:val="0"/>
          <w:color w:val="1F2937"/>
          <w:sz w:val="15"/>
        </w:rPr>
        <w:t xml:space="preserve">2026-08-28  |  </w:t>
      </w:r>
      <w:r>
        <w:rPr>
          <w:rFonts w:ascii="Arial" w:hAnsi="Arial"/>
          <w:b/>
          <w:i w:val="0"/>
          <w:color w:val="0F294A"/>
          <w:sz w:val="15"/>
        </w:rPr>
        <w:t xml:space="preserve">Owner: </w:t>
      </w:r>
      <w:r>
        <w:rPr>
          <w:rFonts w:ascii="Arial" w:hAnsi="Arial"/>
          <w:b w:val="0"/>
          <w:i w:val="0"/>
          <w:color w:val="1F2937"/>
          <w:sz w:val="15"/>
        </w:rPr>
        <w:t>Product Operations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14"/>
      </w:tblGrid>
      <w:tr>
        <w:tc>
          <w:tcPr>
            <w:tcW w:type="dxa" w:w="10815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 xml:space="preserve">Chẩn đoán mô hình: </w:t>
            </w: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B2B do Khoa/Trường Đại học ký hợp đồng &amp; chi trả định kỳ ($14.400 ACV/khoa) từ ngân sách vận hành đào tạo &amp; quỹ TA; Giảng viên và Sinh viên sử dụng trực tiếp qua chuẩn Canvas LMS LTI 1.3.</w:t>
              <w:br/>
            </w:r>
            <w:r>
              <w:rPr>
                <w:rFonts w:ascii="Arial" w:hAnsi="Arial"/>
                <w:b/>
                <w:i w:val="0"/>
                <w:color w:val="0F294A"/>
                <w:sz w:val="14"/>
              </w:rPr>
              <w:t xml:space="preserve">North Star Metric: </w:t>
            </w: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 xml:space="preserve">Time-to-first-value ≤ 5 ngày với ít nhất 50 sinh viên active trong khóa học (Hiện tại: </w:t>
            </w:r>
            <w:r>
              <w:rPr>
                <w:rFonts w:ascii="Arial" w:hAnsi="Arial"/>
                <w:b/>
                <w:i w:val="0"/>
                <w:color w:val="B45309"/>
                <w:sz w:val="14"/>
              </w:rPr>
              <w:t>6 ngày</w:t>
            </w: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 xml:space="preserve"> — Trạng thái: Cảnh báo)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F294A"/>
          <w:sz w:val="17"/>
        </w:rPr>
        <w:t>1. CÂY TÍN HIỆU 3 TẦNG &amp; CÁC NGƯỠNG VẬN HÀNH (Signal Tree &amp; Thresholds)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202"/>
        <w:gridCol w:w="1202"/>
      </w:tblGrid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Tầng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Mã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Tên chỉ số &amp; Định nghĩa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Hiện tại · Nguồn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Vùng Xanh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Vùng Vàng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Vùng Đỏ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Nhịp · Owner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Báo trước · Luật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L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L-01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Time-to-first-value (TTFV)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Số ngày từ kết nối LTI đến khi đạt 50 resolution QA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6 ngày</w:t>
              <w:br/>
              <w:t>[TB] Pilot cohort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≤ 5 ngày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6–10 ngày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&gt; 10 ngày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Tuần</w:t>
              <w:br/>
              <w:t>Product Ops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POC-to-paid &amp; SV</w:t>
              <w:br/>
              <w:t>R-01 (Dừng)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L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L-02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Weekly student resolution rate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Tỷ lệ SV active có ≥2 resolution QA / tuần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58%</w:t>
              <w:br/>
              <w:t>[TB] ĐHBK log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≥ 65%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45–64%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&lt; 45%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Tuần</w:t>
              <w:br/>
              <w:t>Customer Success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TTFV &amp; Churn</w:t>
              <w:br/>
              <w:t>R-02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O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O-01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Pilot activation rate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Tỷ lệ pilot khoa đạt &gt;500 resolution trong 30 ngày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66%</w:t>
              <w:br/>
              <w:t>[MH] MH-02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≥ 75%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50–74%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&lt; 50%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Tuần</w:t>
              <w:br/>
              <w:t>Product Ops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POC-to-paid</w:t>
              <w:br/>
              <w:t>R-03 (Dừng)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O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O-02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Chi phí AI trên mỗi job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Tổng token Claude Haiku + Infra chia resolution QA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840 đ</w:t>
              <w:br/>
              <w:t>[MH] MH-01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≤ 1.000 đ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1.001–1.800 đ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&gt; 1.800 đ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Tuần</w:t>
              <w:br/>
              <w:t>FinOps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Gross Margin</w:t>
              <w:br/>
              <w:t>R-04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O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O-03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POC-to-paid conversion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Tỷ lệ pilot chuyển đổi thành hợp đồng năm chính thức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50%</w:t>
              <w:br/>
              <w:t>[BM] ICONIQ '26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≥ 60%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40–59%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&lt; 40%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Tháng</w:t>
              <w:br/>
              <w:t>Revenue Ops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ARR &amp; CAC payback</w:t>
              <w:br/>
              <w:t>R-03 (Dừng)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G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G-01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Gross margin sau chi phí AI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(Doanh thu − toàn bộ COGS AI) ÷ Doanh thu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82%</w:t>
              <w:br/>
              <w:t>[MH] MH-01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≥ 80%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65–79%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&lt; 65%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Tháng</w:t>
              <w:br/>
              <w:t>Finance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Runway &amp; Payback</w:t>
              <w:br/>
              <w:t>R-04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4"/>
              </w:rPr>
              <w:t>G</w:t>
            </w:r>
          </w:p>
        </w:tc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G-02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Net Revenue Retention (NRR)</w:t>
              <w:br/>
            </w:r>
            <w:r>
              <w:rPr>
                <w:rFonts w:ascii="Arial" w:hAnsi="Arial"/>
                <w:b w:val="0"/>
                <w:i w:val="0"/>
                <w:color w:val="4B5563"/>
                <w:sz w:val="12"/>
              </w:rPr>
              <w:t>Doanh thu cohort sau mở rộng môn/lớp và churn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100%</w:t>
              <w:br/>
              <w:t>[BM] Benchmarkit</w:t>
            </w:r>
          </w:p>
        </w:tc>
        <w:tc>
          <w:tcPr>
            <w:tcW w:type="dxa" w:w="1037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47857"/>
                <w:sz w:val="13"/>
              </w:rPr>
              <w:t>≥ 110%</w:t>
            </w:r>
          </w:p>
        </w:tc>
        <w:tc>
          <w:tcPr>
            <w:tcW w:type="dxa" w:w="109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B45309"/>
                <w:sz w:val="13"/>
              </w:rPr>
              <w:t>100–109%</w:t>
            </w:r>
          </w:p>
        </w:tc>
        <w:tc>
          <w:tcPr>
            <w:tcW w:type="dxa" w:w="95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&lt; 100%</w:t>
            </w:r>
          </w:p>
        </w:tc>
        <w:tc>
          <w:tcPr>
            <w:tcW w:type="dxa" w:w="12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Quý</w:t>
              <w:br/>
              <w:t>Finance</w:t>
            </w:r>
          </w:p>
        </w:tc>
        <w:tc>
          <w:tcPr>
            <w:tcW w:type="dxa" w:w="132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LTV &amp; Tăng trưởng</w:t>
              <w:br/>
              <w:t>R-05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F294A"/>
          <w:sz w:val="17"/>
        </w:rPr>
        <w:t>2. HỆ THỐNG LUẬT QUYẾT ĐỊNH (Decision Rules: NẾU − TRONG − VÀ − THÌ − KHÔNG THÌ)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2163"/>
        <w:gridCol w:w="2163"/>
        <w:gridCol w:w="2163"/>
        <w:gridCol w:w="2163"/>
        <w:gridCol w:w="2163"/>
      </w:tblGrid>
      <w:tr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Mã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Điều kiện kích hoạt (NẾU · TRONG · VÀ)</w:t>
            </w:r>
          </w:p>
        </w:tc>
        <w:tc>
          <w:tcPr>
            <w:tcW w:type="dxa" w:w="3384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Hành động bắt buộc (THÌ)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Phản xạ sai bị cấm (KHÔNG THÌ)</w:t>
            </w:r>
          </w:p>
        </w:tc>
        <w:tc>
          <w:tcPr>
            <w:tcW w:type="dxa" w:w="922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Luật dừng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R-01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 xml:space="preserve">NẾU </w:t>
            </w:r>
            <w:r>
              <w:rPr>
                <w:rFonts w:ascii="Arial" w:hAnsi="Arial"/>
                <w:b/>
                <w:i w:val="0"/>
                <w:color w:val="B91C1C"/>
                <w:sz w:val="13"/>
              </w:rPr>
              <w:t>Median TTFV &gt; 10 ngày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TRONG: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2 cohort liên tiếp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VÀ: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Mỗi cohort có ≥2 khoa tham gia</w:t>
            </w:r>
          </w:p>
        </w:tc>
        <w:tc>
          <w:tcPr>
            <w:tcW w:type="dxa" w:w="338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Đóng băng tiếp nhận pilot mới trong 14 ngày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 xml:space="preserve"> và tinh gọn quy trình cấu hình RAG syllabus xuống đúng 1 môn học cốt lõi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 xml:space="preserve">CẤM: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Không giảm giá hợp đồng để bù đắp sự chậm trễ trong việc chứng minh giá trị</w:t>
            </w:r>
          </w:p>
        </w:tc>
        <w:tc>
          <w:tcPr>
            <w:tcW w:type="dxa" w:w="92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CÓ (Dừng)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R-02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 xml:space="preserve">NẾU </w:t>
            </w:r>
            <w:r>
              <w:rPr>
                <w:rFonts w:ascii="Arial" w:hAnsi="Arial"/>
                <w:b/>
                <w:i w:val="0"/>
                <w:color w:val="B91C1C"/>
                <w:sz w:val="13"/>
              </w:rPr>
              <w:t>Weekly resolution rate &lt; 45%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TRONG: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3 tuần liên tiếp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VÀ: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Có ≥100 sinh viên trong danh sách lớp</w:t>
            </w:r>
          </w:p>
        </w:tc>
        <w:tc>
          <w:tcPr>
            <w:tcW w:type="dxa" w:w="338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Biệt phái 1 chuyên viên Product Ops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 xml:space="preserve"> trực tiếp hỗ trợ giảng viên gắn bài tập tuần vào widget Canvas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 xml:space="preserve">CẤM: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Không gửi email spam thúc ép sinh viên khi giao diện chưa thuận tiện</w:t>
            </w:r>
          </w:p>
        </w:tc>
        <w:tc>
          <w:tcPr>
            <w:tcW w:type="dxa" w:w="92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3"/>
              </w:rPr>
              <w:t>KHÔNG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R-03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 xml:space="preserve">NẾU </w:t>
            </w:r>
            <w:r>
              <w:rPr>
                <w:rFonts w:ascii="Arial" w:hAnsi="Arial"/>
                <w:b/>
                <w:i w:val="0"/>
                <w:color w:val="B91C1C"/>
                <w:sz w:val="13"/>
              </w:rPr>
              <w:t>Pilot activation rate &lt; 50%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TRONG: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2 kỳ đánh giá liên tiếp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VÀ: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Có ≥4 pilot khoa đang chạy</w:t>
            </w:r>
          </w:p>
        </w:tc>
        <w:tc>
          <w:tcPr>
            <w:tcW w:type="dxa" w:w="338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Dừng toàn bộ hoạt động outbound sales mới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 xml:space="preserve"> và tập trung tối ưu hóa kịch bản onboarding 1-click cho giảng viên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 xml:space="preserve">CẤM: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Không tăng ngân sách sales để tìm thêm pilot khi tỷ lệ kích hoạt chưa đạt</w:t>
            </w:r>
          </w:p>
        </w:tc>
        <w:tc>
          <w:tcPr>
            <w:tcW w:type="dxa" w:w="92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>CÓ (Dừng)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R-04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 xml:space="preserve">NẾU </w:t>
            </w:r>
            <w:r>
              <w:rPr>
                <w:rFonts w:ascii="Arial" w:hAnsi="Arial"/>
                <w:b/>
                <w:i w:val="0"/>
                <w:color w:val="B91C1C"/>
                <w:sz w:val="13"/>
              </w:rPr>
              <w:t>AI cost / job &gt; 1.800 đ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TRONG: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2 tuần liên tiếp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VÀ: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Có ≥1.000 resolution phát sinh</w:t>
            </w:r>
          </w:p>
        </w:tc>
        <w:tc>
          <w:tcPr>
            <w:tcW w:type="dxa" w:w="338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Bật tính năng prompt caching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, cắt giảm context RAG và chuyển truy vấn đơn giản sang model tier nhỏ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 xml:space="preserve">CẤM: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Không tắt bộ lọc an toàn và kiểm duyệt chất lượng để giảm chi phí token ảo</w:t>
            </w:r>
          </w:p>
        </w:tc>
        <w:tc>
          <w:tcPr>
            <w:tcW w:type="dxa" w:w="92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3"/>
              </w:rPr>
              <w:t>KHÔNG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>R-05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0F294A"/>
                <w:sz w:val="13"/>
              </w:rPr>
              <w:t xml:space="preserve">NẾU </w:t>
            </w:r>
            <w:r>
              <w:rPr>
                <w:rFonts w:ascii="Arial" w:hAnsi="Arial"/>
                <w:b/>
                <w:i w:val="0"/>
                <w:color w:val="B91C1C"/>
                <w:sz w:val="13"/>
              </w:rPr>
              <w:t>NRR &lt; 100%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TRONG: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2 quý liên tiếp</w:t>
              <w:br/>
            </w:r>
            <w:r>
              <w:rPr>
                <w:rFonts w:ascii="Arial" w:hAnsi="Arial"/>
                <w:b/>
                <w:i w:val="0"/>
                <w:color w:val="4B5563"/>
                <w:sz w:val="12"/>
              </w:rPr>
              <w:t xml:space="preserve">VÀ: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Có ≥3 hợp đồng khoa đến kỳ gia hạn</w:t>
            </w:r>
          </w:p>
        </w:tc>
        <w:tc>
          <w:tcPr>
            <w:tcW w:type="dxa" w:w="338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11827"/>
                <w:sz w:val="13"/>
              </w:rPr>
              <w:t>Tổ chức phiên làm việc trực tiếp Trưởng khoa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 xml:space="preserve"> đánh giá báo cáo giảm tải TA và giải quyết các rào cản tính năng</w:t>
            </w:r>
          </w:p>
        </w:tc>
        <w:tc>
          <w:tcPr>
            <w:tcW w:type="dxa" w:w="295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3"/>
              </w:rPr>
              <w:t xml:space="preserve">CẤM: </w:t>
            </w: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Không tính toán gộp cơ hội bán mới từ các trường khác vào NRR tài khoản cũ</w:t>
            </w:r>
          </w:p>
        </w:tc>
        <w:tc>
          <w:tcPr>
            <w:tcW w:type="dxa" w:w="92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3"/>
              </w:rPr>
              <w:t>KHÔNG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F294A"/>
          <w:sz w:val="17"/>
        </w:rPr>
        <w:t>3. CỔNG GÁC 90 NGÀY, KILL CRITERIA &amp; ĐIỂM CHƯA ĐO ĐƯỢC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1802"/>
        <w:gridCol w:w="1802"/>
        <w:gridCol w:w="1802"/>
        <w:gridCol w:w="1802"/>
        <w:gridCol w:w="1802"/>
        <w:gridCol w:w="1802"/>
      </w:tblGrid>
      <w:tr>
        <w:tc>
          <w:tcPr>
            <w:tcW w:type="dxa" w:w="936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Cổng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Giai đoạn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Chỉ số gác cổng duy nhất</w:t>
            </w:r>
          </w:p>
        </w:tc>
        <w:tc>
          <w:tcPr>
            <w:tcW w:type="dxa" w:w="2664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Ngưỡng định lượng bắt buộc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Bằng chứng đối soát vật lý</w:t>
            </w:r>
          </w:p>
        </w:tc>
        <w:tc>
          <w:tcPr>
            <w:tcW w:type="dxa" w:w="1181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Quyết định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Ngày 30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Learning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Xác nhận Pain Moment &amp; độ chính xác RAG syllabus từ 3 Trưởng bộ môn</w:t>
            </w:r>
          </w:p>
        </w:tc>
        <w:tc>
          <w:tcPr>
            <w:tcW w:type="dxa" w:w="266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≥85% Factual Accuracy &amp; 3/3 bộ môn nghiệm thu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Biên bản nghiệm thu KT &amp; eval log 30 slices</w:t>
            </w:r>
          </w:p>
        </w:tc>
        <w:tc>
          <w:tcPr>
            <w:tcW w:type="dxa" w:w="1181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Đạt: GO</w:t>
              <w:br/>
              <w:t>Trượt: FIX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Ngày 60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Operation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Tỷ lệ sinh viên active giải bài tập tuần (Weekly active resolution rate)</w:t>
            </w:r>
          </w:p>
        </w:tc>
        <w:tc>
          <w:tcPr>
            <w:tcW w:type="dxa" w:w="266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≥50% trên tổng số 600 sinh viên tại 2 khoa pilot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Báo cáo trích xuất telemetry log Canvas LTI</w:t>
            </w:r>
          </w:p>
        </w:tc>
        <w:tc>
          <w:tcPr>
            <w:tcW w:type="dxa" w:w="1181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Đạt: GO</w:t>
              <w:br/>
              <w:t>Trượt: PIVOT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Ngày 90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Business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Gross Margin sau AI cost và chuyển đổi hợp đồng B2B chính thức</w:t>
            </w:r>
          </w:p>
        </w:tc>
        <w:tc>
          <w:tcPr>
            <w:tcW w:type="dxa" w:w="266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Gross Margin ≥80% &amp; có ≥2 hợp đồng B2B ($14.4K)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Hợp đồng kinh tế đã ký &amp; sao kê thanh toán</w:t>
            </w:r>
          </w:p>
        </w:tc>
        <w:tc>
          <w:tcPr>
            <w:tcW w:type="dxa" w:w="1181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Đạt: GO</w:t>
              <w:br/>
              <w:t>Trượt: KILL</w:t>
            </w:r>
          </w:p>
        </w:tc>
      </w:tr>
    </w:tbl>
    <w:p>
      <w:pPr>
        <w:spacing w:before="60" w:after="0" w:line="276" w:lineRule="auto"/>
      </w:pPr>
      <w:r>
        <w:rPr>
          <w:rFonts w:ascii="Arial" w:hAnsi="Arial"/>
          <w:b/>
          <w:i w:val="0"/>
          <w:color w:val="B91C1C"/>
          <w:sz w:val="14"/>
        </w:rPr>
        <w:t xml:space="preserve">Kill criteria: </w:t>
      </w:r>
      <w:r>
        <w:rPr>
          <w:rFonts w:ascii="Arial" w:hAnsi="Arial"/>
          <w:b w:val="0"/>
          <w:i w:val="0"/>
          <w:color w:val="1F2937"/>
          <w:sz w:val="14"/>
        </w:rPr>
        <w:t>KILL dự án vào ngày 90 nếu sau 2 chu kỳ tối ưu kỹ thuật RAG mà tỷ lệ chuyển đổi POC sang hợp đồng trả phí vẫn &lt;30% và không có khoa nào đồng ý mức giá nền tối thiểu $1.50/sinh viên/tháng.</w:t>
        <w:br/>
      </w:r>
      <w:r>
        <w:rPr>
          <w:rFonts w:ascii="Arial" w:hAnsi="Arial"/>
          <w:b/>
          <w:i w:val="0"/>
          <w:color w:val="0F294A"/>
          <w:sz w:val="14"/>
        </w:rPr>
        <w:t xml:space="preserve">Điểm chưa đo được: </w:t>
      </w:r>
      <w:r>
        <w:rPr>
          <w:rFonts w:ascii="Arial" w:hAnsi="Arial"/>
          <w:b w:val="0"/>
          <w:i w:val="0"/>
          <w:color w:val="1F2937"/>
          <w:sz w:val="14"/>
        </w:rPr>
        <w:t>Tỷ lệ TA tiết kiệm thực tế 70% thời gian  |  Cần bảng đối soát giờ trực của TA tại 2 khoa pilot  |  Owner: Customer Success Lead  |  Ngày có số: 2026-09-30.</w:t>
      </w:r>
    </w:p>
    <w:p>
      <w:r>
        <w:br w:type="page"/>
      </w:r>
    </w:p>
    <w:p>
      <w:pPr>
        <w:spacing w:before="0" w:after="20"/>
      </w:pPr>
      <w:r>
        <w:rPr>
          <w:rFonts w:ascii="Arial" w:hAnsi="Arial"/>
          <w:b/>
          <w:color w:val="0F294A"/>
          <w:sz w:val="23"/>
        </w:rPr>
        <w:t>PHỤ LỤC: ĐỐI SOÁT MÔ HÌNH [MH], KIỂM KÊ 11 ĐÈN &amp; AI CRITIQUE</w:t>
      </w:r>
    </w:p>
    <w:p>
      <w:pPr>
        <w:spacing w:before="0" w:after="80"/>
      </w:pPr>
      <w:r>
        <w:rPr>
          <w:rFonts w:ascii="Arial" w:hAnsi="Arial"/>
          <w:i/>
          <w:color w:val="4B5563"/>
          <w:sz w:val="15"/>
        </w:rPr>
        <w:t>Thuyết minh cơ sở toán học Unit Economics Day 24-25, Nguồn Benchmark &amp; Biên bản phản biện chất lượng</w:t>
      </w:r>
    </w:p>
    <w:p>
      <w:pPr>
        <w:spacing w:before="0" w:after="40"/>
      </w:pPr>
      <w:r>
        <w:rPr>
          <w:rFonts w:ascii="Arial" w:hAnsi="Arial"/>
          <w:b/>
          <w:color w:val="0F294A"/>
          <w:sz w:val="17"/>
        </w:rPr>
        <w:t>A. PHỤ LỤC NGƯỠNG SUY TỪ MÔ HÌNH UNIT ECONOMICS [MH]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2163"/>
        <w:gridCol w:w="2163"/>
        <w:gridCol w:w="2163"/>
        <w:gridCol w:w="2163"/>
        <w:gridCol w:w="2163"/>
      </w:tblGrid>
      <w:tr>
        <w:tc>
          <w:tcPr>
            <w:tcW w:type="dxa" w:w="720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Mã ID</w:t>
            </w:r>
          </w:p>
        </w:tc>
        <w:tc>
          <w:tcPr>
            <w:tcW w:type="dxa" w:w="2232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Chỉ số áp dụng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Dữ liệu đầu vào Day 24–25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Phép tính toán học (Có số &amp; dấu =)</w:t>
            </w:r>
          </w:p>
        </w:tc>
        <w:tc>
          <w:tcPr>
            <w:tcW w:type="dxa" w:w="2606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Kết quả &amp; Ngưỡng áp dụng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MH-01</w:t>
            </w:r>
          </w:p>
        </w:tc>
        <w:tc>
          <w:tcPr>
            <w:tcW w:type="dxa" w:w="223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Chi phí AI tối đa / resolution</w:t>
              <w:br/>
              <w:t>(Áp dụng O-02 &amp; G-01)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Giá bán đề xuất: 9.100 đ/job ($0.35)</w:t>
              <w:br/>
              <w:t>Gross margin mục tiêu: 84%</w:t>
              <w:br/>
              <w:t>Chi phí biến đổi khác: 600 đ/job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9.100 × (1 − 0.84) − 600 = 856 đ</w:t>
              <w:br/>
              <w:t>Trần chịu đựng: 9.100 × (1 − 0.65) − 600 = 2.585 đ</w:t>
            </w:r>
          </w:p>
        </w:tc>
        <w:tc>
          <w:tcPr>
            <w:tcW w:type="dxa" w:w="260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Xanh: ≤ 1.000 đ/job (GM &gt;82%)</w:t>
              <w:br/>
              <w:t>Vàng: 1.001–1.800 đ (GM 70–80%)</w:t>
              <w:br/>
              <w:t>Đỏ: &gt; 1.800 đ (Vi phạm trần GM)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MH-02</w:t>
            </w:r>
          </w:p>
        </w:tc>
        <w:tc>
          <w:tcPr>
            <w:tcW w:type="dxa" w:w="223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3"/>
              </w:rPr>
              <w:t>Tỷ lệ kích hoạt Pilot tối thiểu</w:t>
              <w:br/>
              <w:t>(Áp dụng O-01)</w:t>
            </w:r>
          </w:p>
        </w:tc>
        <w:tc>
          <w:tcPr>
            <w:tcW w:type="dxa" w:w="28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Mục tiêu doanh thu: Ký 3 hợp đồng B2B ($14.400 ACV) từ phễu 4 pilot khoa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3 ÷ 4 = 75%</w:t>
              <w:br/>
              <w:t>Mức hòa vốn GTM: 2 ÷ 4 = 50%</w:t>
            </w:r>
          </w:p>
        </w:tc>
        <w:tc>
          <w:tcPr>
            <w:tcW w:type="dxa" w:w="260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Xanh: ≥ 75% (Đạt mục tiêu 3 deal)</w:t>
              <w:br/>
              <w:t>Vàng: 50–74% (Cần tối ưu sales)</w:t>
              <w:br/>
              <w:t>Đỏ: &lt; 50% (Không thể đạt ARR)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F294A"/>
          <w:sz w:val="17"/>
        </w:rPr>
        <w:t>B. KIỂM KÊ TOÀN BỘ 11 ĐÈN ỨNG VIÊN B2B TỪ HANDBOOK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2704"/>
        <w:gridCol w:w="2704"/>
        <w:gridCol w:w="2704"/>
        <w:gridCol w:w="2704"/>
      </w:tblGrid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Đèn ứng viên B2B từ Handbook</w:t>
            </w:r>
          </w:p>
        </w:tc>
        <w:tc>
          <w:tcPr>
            <w:tcW w:type="dxa" w:w="576"/>
            <w:tcMar>
              <w:top w:w="35" w:type="dxa"/>
              <w:bottom w:w="35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Tầng</w:t>
            </w:r>
          </w:p>
        </w:tc>
        <w:tc>
          <w:tcPr>
            <w:tcW w:type="dxa" w:w="1008"/>
            <w:tcMar>
              <w:top w:w="35" w:type="dxa"/>
              <w:bottom w:w="35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Trạng thái</w:t>
            </w:r>
          </w:p>
        </w:tc>
        <w:tc>
          <w:tcPr>
            <w:tcW w:type="dxa" w:w="6638"/>
            <w:tcMar>
              <w:top w:w="35" w:type="dxa"/>
              <w:bottom w:w="35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Bằng chứng hiện có / Kế hoạch đo lường chi tiết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Time-to-first-value (TTFV)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L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Đo được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Log tích hợp LTI 1.3 và event 50 resolution đầu tiên của sinh viên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Pipeline coverage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L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Đang đo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Chuẩn hóa stage cơ hội và CRM pipeline của 8 khoa mục tiêu trước 2026-09-15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% deal chết ở khâu security/procurement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L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Đang đo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Theo dõi lý do từ chối về DPA/bảo mật RAG trong CRM trước 2026-09-15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POC → paid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O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Đo được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Biên bản MOU và kết quả chuyển đổi từ 3 pilot sang hợp đồng chính thức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Sales cycle (ngày)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O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Đang đo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Đo số tuần từ demo LTI đến ký hợp đồng mua sắm khoa trước 2026-09-30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Usage depth trong tài khoản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O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Đo được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Telemetry log tỷ lệ sinh viên kích hoạt giải bài tập tuần trên Canvas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Chi phí triển khai ÷ ACV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O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Đang đo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Timesheet hỗ trợ cấu hình syllabus và RAG index trước 2026-09-20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Tập trung doanh thu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O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Đo được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Bảng theo dõi ACV 3 hợp đồng khoa đầu tiên so với tổng ARR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NRR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G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Đang đo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Đo lường mở rộng số lớp/môn sau 2 học kỳ trước 2027-03-31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Gross Margin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G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Đo được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Đối soát billing token Claude Haiku và chi phí hạ tầng vector DB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CAC payback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G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2"/>
              </w:rPr>
              <w:t>Đang đo</w:t>
            </w:r>
          </w:p>
        </w:tc>
        <w:tc>
          <w:tcPr>
            <w:tcW w:type="dxa" w:w="663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Tính fully-loaded CAC sau khi hoàn thành 3 thương vụ đầu trước 2026-10-31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F294A"/>
          <w:sz w:val="17"/>
        </w:rPr>
        <w:t>C. GHI NHẬN AI CRITIQUE &amp; PHẢN BIỆN CHUYÊN MÔN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2704"/>
        <w:gridCol w:w="2704"/>
        <w:gridCol w:w="2704"/>
        <w:gridCol w:w="2704"/>
      </w:tblGrid>
      <w:tr>
        <w:tc>
          <w:tcPr>
            <w:tcW w:type="dxa" w:w="3024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Ý kiến phản biện AI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Quyết định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Thay đổi đã thực hiện</w:t>
            </w:r>
          </w:p>
        </w:tc>
        <w:tc>
          <w:tcPr>
            <w:tcW w:type="dxa" w:w="3398"/>
            <w:tcMar>
              <w:top w:w="40" w:type="dxa"/>
              <w:bottom w:w="40" w:type="dxa"/>
              <w:left w:w="70" w:type="dxa"/>
              <w:right w:w="70" w:type="dxa"/>
            </w:tcMar>
            <w:shd w:fill="0F294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Lý do &amp; Thuyết minh chuyên môn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TTFV cho trường đại học cần đo theo số resolution học tập thay vì chỉ số lượng SV đăng nhập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Chấp nhận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Định nghĩa TTFV là thời gian đạt 50 resolution học tập đạt chuẩn QA</w:t>
            </w:r>
          </w:p>
        </w:tc>
        <w:tc>
          <w:tcPr>
            <w:tcW w:type="dxa" w:w="339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Tránh bẫy vanity metric khi sinh viên đăng nhập nhưng không thực sự học tập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Nên lấy benchmark NRR SaaS chung 101% làm ngưỡng đỏ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2"/>
              </w:rPr>
              <w:t>Bác bỏ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Giữ ngưỡng đỏ là &lt;100% và xanh là ≥110%</w:t>
            </w:r>
          </w:p>
        </w:tc>
        <w:tc>
          <w:tcPr>
            <w:tcW w:type="dxa" w:w="339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Trong B2B giáo dục, nếu NRR &lt;100% nghĩa là khoa bị cắt giảm môn học đăng ký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Cần có cơ chế kiểm soát token cost tránh sinh viên spam câu hỏi ngoài bài học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47857"/>
                <w:sz w:val="12"/>
              </w:rPr>
              <w:t>Chấp nhận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Bổ sung rule R-04 kích hoạt prompt caching &amp; dynamic routing</w:t>
            </w:r>
          </w:p>
        </w:tc>
        <w:tc>
          <w:tcPr>
            <w:tcW w:type="dxa" w:w="339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2"/>
              </w:rPr>
              <w:t>Bảo vệ biên lợi nhuận gộp 84% khỏi nguy cơ đội chi phí inference</w:t>
            </w:r>
          </w:p>
        </w:tc>
      </w:tr>
    </w:tbl>
    <w:sectPr w:rsidR="00FC693F" w:rsidRPr="0006063C" w:rsidSect="00034616">
      <w:pgSz w:w="11909" w:h="16834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