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255393" cy="2723949"/>
            <wp:effectExtent b="0" l="0" r="0" t="0"/>
            <wp:docPr descr="Figure 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 маршрутной перестановки</w:t>
      </w:r>
    </w:p>
    <w:bookmarkEnd w:id="0"/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5206104"/>
            <wp:effectExtent b="0" l="0" r="0" t="0"/>
            <wp:docPr descr="Figure 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Работа алгоритма решетки</w:t>
      </w:r>
    </w:p>
    <w:bookmarkEnd w:id="0"/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982072"/>
            <wp:effectExtent b="0" l="0" r="0" t="0"/>
            <wp:docPr descr="Figure 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Работа алгоритма Виженера</w:t>
      </w:r>
    </w:p>
    <w:bookmarkEnd w:id="0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Хайдара Абдульджалиль Мухаммад Махди</dc:creator>
  <dc:language>ru-RU</dc:language>
  <cp:keywords/>
  <dcterms:created xsi:type="dcterms:W3CDTF">2024-01-03T12:25:38Z</dcterms:created>
  <dcterms:modified xsi:type="dcterms:W3CDTF">2024-01-03T12:25:38Z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