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X1a02b75f5a138ee757e3f8f715afb007f105510"/>
    <w:p>
      <w:pPr>
        <w:pStyle w:val="Heading1"/>
      </w:pPr>
      <w:r>
        <w:t xml:space="preserve">Pip: giving a free-tier AI chat controlled hands on a student’s own machine</w:t>
      </w:r>
    </w:p>
    <w:p>
      <w:pPr>
        <w:pStyle w:val="FirstParagraph"/>
      </w:pPr>
      <w:r>
        <w:rPr>
          <w:b/>
          <w:bCs/>
        </w:rPr>
        <w:t xml:space="preserve">Project report — iWISE Regional Final 2026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897"/>
        <w:gridCol w:w="602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iTECH — Software /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t xml:space="preserve">iWISE Regional Final, Yogyakarta, 29 October – 1 November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Haidar Ali Fawwaz Nasirodin · Faiq Abiyyu Asyam · Avandreda Giano Bestafa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Indonesia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Supervising teacher</w:t>
            </w:r>
          </w:p>
        </w:tc>
        <w:tc>
          <w:tcPr/>
          <w:p>
            <w:pPr>
              <w:pStyle w:val="Compact"/>
            </w:pPr>
            <w:r>
              <w:t xml:space="preserve">Muhammad Hasan, Ph.D.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github.com/haidaralif-24/iWISE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Students use AI chat daily, yet giving it their own documents is still manual. They copy text out of</w:t>
      </w:r>
      <w:r>
        <w:br/>
      </w:r>
      <w:r>
        <w:t xml:space="preserve">PDFs, Word files and slides, and the broken formatting burns free-tier limits. The AI cannot see</w:t>
      </w:r>
      <w:r>
        <w:br/>
      </w:r>
      <w:r>
        <w:t xml:space="preserve">their files, so every question needs pasted context. Autonomous agents would remove that friction,</w:t>
      </w:r>
      <w:r>
        <w:br/>
      </w:r>
      <w:r>
        <w:t xml:space="preserve">but they require paid API keys or capable hardware, which many students do not have.</w:t>
      </w:r>
    </w:p>
    <w:p>
      <w:pPr>
        <w:pStyle w:val="BodyText"/>
      </w:pPr>
      <w:r>
        <w:t xml:space="preserve">Pip is a small always-on-top desktop window, built with Tauri and TypeScript, that opens the AI chat</w:t>
      </w:r>
      <w:r>
        <w:br/>
      </w:r>
      <w:r>
        <w:t xml:space="preserve">service a user already has beside a set of local tools. A local Model Context Protocol server gives</w:t>
      </w:r>
      <w:r>
        <w:br/>
      </w:r>
      <w:r>
        <w:t xml:space="preserve">the AI controlled access to the user’s files, guarded by a folder allowlist with path</w:t>
      </w:r>
      <w:r>
        <w:br/>
      </w:r>
      <w:r>
        <w:t xml:space="preserve">canonicalisation, native confirmation prompts before any write, authenticated connections, output</w:t>
      </w:r>
      <w:r>
        <w:br/>
      </w:r>
      <w:r>
        <w:t xml:space="preserve">size limits and an append-only audit log, while the chat webview is deliberately granted no</w:t>
      </w:r>
      <w:r>
        <w:br/>
      </w:r>
      <w:r>
        <w:t xml:space="preserve">application permissions. A local pipeline built on Microsoft’s MarkItDown converts PDF, DOCX, PPTX</w:t>
      </w:r>
      <w:r>
        <w:br/>
      </w:r>
      <w:r>
        <w:t xml:space="preserve">and XLSX files and lets the user preview and edit the Markdown.</w:t>
      </w:r>
    </w:p>
    <w:p>
      <w:pPr>
        <w:pStyle w:val="BodyText"/>
      </w:pPr>
      <w:r>
        <w:t xml:space="preserve">Pip needs no API key and no local model. The full path from document to tool call was verified on a</w:t>
      </w:r>
      <w:r>
        <w:br/>
      </w:r>
      <w:r>
        <w:t xml:space="preserve">free Claude account through a public tunnel, and adversarial testing closed path traversal and</w:t>
      </w:r>
      <w:r>
        <w:br/>
      </w:r>
      <w:r>
        <w:t xml:space="preserve">unauthenticated access while exposing an approval bypass that a green test suite had missed. A</w:t>
      </w:r>
      <w:r>
        <w:br/>
      </w:r>
      <w:r>
        <w:t xml:space="preserve">separate measurement showed that conversion alone does not reduce token cost; page selection does,</w:t>
      </w:r>
      <w:r>
        <w:br/>
      </w:r>
      <w:r>
        <w:t xml:space="preserve">cutting a six-page PDF from 2,067 tokens to 686.</w:t>
      </w:r>
    </w:p>
    <w:p>
      <w:r>
        <w:pict>
          <v:rect style="width:0;height:1.5pt" o:hralign="center" o:hrstd="t" o:hr="t"/>
        </w:pict>
      </w:r>
    </w:p>
    <w:bookmarkEnd w:id="9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 student’s AI chat can answer almost anything except the questions that need their own files. It</w:t>
      </w:r>
      <w:r>
        <w:br/>
      </w:r>
      <w:r>
        <w:t xml:space="preserve">cannot see the essay being written, the notes from last week, or the worksheet in front of them.</w:t>
      </w:r>
      <w:r>
        <w:br/>
      </w:r>
      <w:r>
        <w:t xml:space="preserve">Everything has to be pasted in by hand, and pasting is where the work goes: PDF line breaks become</w:t>
      </w:r>
      <w:r>
        <w:br/>
      </w:r>
      <w:r>
        <w:t xml:space="preserve">hard wraps, tables become noise, and part of a limited free tier is spent reading layout instead of</w:t>
      </w:r>
      <w:r>
        <w:br/>
      </w:r>
      <w:r>
        <w:t xml:space="preserve">content.</w:t>
      </w:r>
    </w:p>
    <w:p>
      <w:pPr>
        <w:pStyle w:val="BodyText"/>
      </w:pPr>
      <w:r>
        <w:t xml:space="preserve">The obvious fix is an agent: software that gives the model the ability to read files itself. That</w:t>
      </w:r>
      <w:r>
        <w:br/>
      </w:r>
      <w:r>
        <w:t xml:space="preserve">fix exists, and it is out of reach. Agent tooling assumes either an API key billed per token or a</w:t>
      </w:r>
      <w:r>
        <w:br/>
      </w:r>
      <w:r>
        <w:t xml:space="preserve">local model large enough to run on a capable machine. A seventeen-year-old with a school laptop and a</w:t>
      </w:r>
      <w:r>
        <w:br/>
      </w:r>
      <w:r>
        <w:t xml:space="preserve">free account has neither. The capability gap is therefore not technical in origin; it is a pricing</w:t>
      </w:r>
      <w:r>
        <w:br/>
      </w:r>
      <w:r>
        <w:t xml:space="preserve">and hardware gap, and it falls on exactly the users who would benefit most.</w:t>
      </w:r>
    </w:p>
    <w:p>
      <w:pPr>
        <w:pStyle w:val="BodyText"/>
      </w:pPr>
      <w:r>
        <w:t xml:space="preserve">Pip is an attempt to close that gap without asking anyone to pay. The design decision that shapes</w:t>
      </w:r>
      <w:r>
        <w:br/>
      </w:r>
      <w:r>
        <w:t xml:space="preserve">everything else is this:</w:t>
      </w:r>
      <w:r>
        <w:t xml:space="preserve"> </w:t>
      </w:r>
      <w:r>
        <w:rPr>
          <w:b/>
          <w:bCs/>
        </w:rPr>
        <w:t xml:space="preserve">do not bring the model to the files, bring the files to the model on</w:t>
      </w:r>
      <w:r>
        <w:br/>
      </w:r>
      <w:r>
        <w:rPr>
          <w:b/>
          <w:bCs/>
        </w:rPr>
        <w:t xml:space="preserve">request.</w:t>
      </w:r>
      <w:r>
        <w:t xml:space="preserve"> </w:t>
      </w:r>
      <w:r>
        <w:t xml:space="preserve">The model is given a</w:t>
      </w:r>
      <w:r>
        <w:t xml:space="preserve"> </w:t>
      </w:r>
      <w:r>
        <w:rPr>
          <w:i/>
          <w:iCs/>
        </w:rPr>
        <w:t xml:space="preserve">handle</w:t>
      </w:r>
      <w:r>
        <w:t xml:space="preserve"> </w:t>
      </w:r>
      <w:r>
        <w:t xml:space="preserve">— a path it may ask about — rather than a</w:t>
      </w:r>
      <w:r>
        <w:t xml:space="preserve"> </w:t>
      </w:r>
      <w:r>
        <w:rPr>
          <w:i/>
          <w:iCs/>
        </w:rPr>
        <w:t xml:space="preserve">copy</w:t>
      </w:r>
      <w:r>
        <w:t xml:space="preserve">. A small</w:t>
      </w:r>
      <w:r>
        <w:br/>
      </w:r>
      <w:r>
        <w:t xml:space="preserve">server on the user’s own machine answers those requests, and a permission layer decides which</w:t>
      </w:r>
      <w:r>
        <w:br/>
      </w:r>
      <w:r>
        <w:t xml:space="preserve">requests are allowed.</w:t>
      </w:r>
    </w:p>
    <w:p>
      <w:pPr>
        <w:pStyle w:val="BodyText"/>
      </w:pPr>
      <w:r>
        <w:t xml:space="preserve">This has a consequence worth stating early, because it is the project’s central claim: the file never</w:t>
      </w:r>
      <w:r>
        <w:br/>
      </w:r>
      <w:r>
        <w:t xml:space="preserve">moves. Only the text the model explicitly asks for enters the conversation. That is a different</w:t>
      </w:r>
      <w:r>
        <w:br/>
      </w:r>
      <w:r>
        <w:t xml:space="preserve">proposition from uploading a document, where a copy is stored somewhere the user does not control.</w:t>
      </w:r>
      <w:r>
        <w:br/>
      </w:r>
      <w:r>
        <w:t xml:space="preserve">It is also the reason page-level reading is possible at all, and therefore the reason any token</w:t>
      </w:r>
      <w:r>
        <w:br/>
      </w:r>
      <w:r>
        <w:t xml:space="preserve">saving exists.</w:t>
      </w:r>
    </w:p>
    <w:bookmarkStart w:id="10" w:name="what-was-built"/>
    <w:p>
      <w:pPr>
        <w:pStyle w:val="Heading3"/>
      </w:pPr>
      <w:r>
        <w:t xml:space="preserve">1.1 What was built</w:t>
      </w:r>
    </w:p>
    <w:p>
      <w:pPr>
        <w:pStyle w:val="FirstParagraph"/>
      </w:pPr>
      <w:r>
        <w:t xml:space="preserve">A macOS desktop application in three layers, listed in order of importance rather than order of</w:t>
      </w:r>
      <w:r>
        <w:br/>
      </w:r>
      <w:r>
        <w:t xml:space="preserve">construction: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tool layer.</w:t>
      </w:r>
      <w:r>
        <w:t xml:space="preserve"> </w:t>
      </w:r>
      <w:r>
        <w:t xml:space="preserve">A local Model Context Protocol server exposing seven tools — list a folder, read</w:t>
      </w:r>
      <w:r>
        <w:br/>
      </w:r>
      <w:r>
        <w:t xml:space="preserve">a document, search notes, write a note, render a digest, render a quiz — behind a folder allowlist,</w:t>
      </w:r>
      <w:r>
        <w:br/>
      </w:r>
      <w:r>
        <w:t xml:space="preserve">an approval prompt for anything that writes, and an append-only audit log. This is the part that</w:t>
      </w:r>
      <w:r>
        <w:br/>
      </w:r>
      <w:r>
        <w:t xml:space="preserve">gives the chat hands, and the part the project is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window.</w:t>
      </w:r>
      <w:r>
        <w:t xml:space="preserve"> </w:t>
      </w:r>
      <w:r>
        <w:t xml:space="preserve">A Tauri application: a Rust backend, a TypeScript frontend rendered in the system</w:t>
      </w:r>
      <w:r>
        <w:br/>
      </w:r>
      <w:r>
        <w:t xml:space="preserve">webview, always-on-top, summoned by a global hotkey. It hosts the user’s existing chat service in a</w:t>
      </w:r>
      <w:r>
        <w:br/>
      </w:r>
      <w:r>
        <w:t xml:space="preserve">separate webview that is deliberately granted no application permissions, and carries a Pomodoro</w:t>
      </w:r>
      <w:r>
        <w:br/>
      </w:r>
      <w:r>
        <w:t xml:space="preserve">timer and quick notes so that it is pleasant enough to leave open.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document pipeline.</w:t>
      </w:r>
      <w:r>
        <w:t xml:space="preserve"> </w:t>
      </w:r>
      <w:r>
        <w:t xml:space="preserve">A Python sidecar wrapping Microsoft’s MarkItDown, which converts PDF,</w:t>
      </w:r>
      <w:r>
        <w:br/>
      </w:r>
      <w:r>
        <w:t xml:space="preserve">DOCX, PPTX and XLSX to Markdown so the user can read it rendered, edit the source and select pages</w:t>
      </w:r>
      <w:r>
        <w:t xml:space="preserve"> </w:t>
      </w:r>
      <w:r>
        <w:t xml:space="preserve">before the prompt is</w:t>
      </w:r>
      <w:r>
        <w:br/>
      </w:r>
      <w:r>
        <w:t xml:space="preserve">assembled. It is one of the seven tools, and the smallest of the three layers in what it contributes.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research-question-and-aims"/>
    <w:p>
      <w:pPr>
        <w:pStyle w:val="Heading2"/>
      </w:pPr>
      <w:r>
        <w:t xml:space="preserve">2. Research question and aims</w:t>
      </w:r>
    </w:p>
    <w:bookmarkStart w:id="12" w:name="research-question"/>
    <w:p>
      <w:pPr>
        <w:pStyle w:val="Heading3"/>
      </w:pPr>
      <w:r>
        <w:t xml:space="preserve">2.1 Research question</w:t>
      </w:r>
    </w:p>
    <w:p>
      <w:pPr>
        <w:pStyle w:val="BlockText"/>
      </w:pPr>
      <w:r>
        <w:t xml:space="preserve">Can a free-tier cloud AI chat service be given controlled, auditable access to a student’s local</w:t>
      </w:r>
      <w:r>
        <w:br/>
      </w:r>
      <w:r>
        <w:t xml:space="preserve">files using only local components, and how much of the resulting risk surface can a user-controlled</w:t>
      </w:r>
      <w:r>
        <w:br/>
      </w:r>
      <w:r>
        <w:t xml:space="preserve">permission layer close?</w:t>
      </w:r>
    </w:p>
    <w:p>
      <w:pPr>
        <w:pStyle w:val="FirstParagraph"/>
      </w:pPr>
      <w:r>
        <w:t xml:space="preserve">The question has two halves, and both require evidence. A working demonstration answers the first.</w:t>
      </w:r>
      <w:r>
        <w:br/>
      </w:r>
      <w:r>
        <w:t xml:space="preserve">Only adversarial testing answers the second.</w:t>
      </w:r>
    </w:p>
    <w:bookmarkEnd w:id="12"/>
    <w:bookmarkStart w:id="13" w:name="secondary-question"/>
    <w:p>
      <w:pPr>
        <w:pStyle w:val="Heading3"/>
      </w:pPr>
      <w:r>
        <w:t xml:space="preserve">2.2 Secondary question</w:t>
      </w:r>
    </w:p>
    <w:p>
      <w:pPr>
        <w:pStyle w:val="BlockText"/>
      </w:pPr>
      <w:r>
        <w:t xml:space="preserve">Which failures in such a system are detectable by automated testing, and which survive a passing</w:t>
      </w:r>
      <w:r>
        <w:br/>
      </w:r>
      <w:r>
        <w:t xml:space="preserve">test suite?</w:t>
      </w:r>
    </w:p>
    <w:p>
      <w:pPr>
        <w:pStyle w:val="FirstParagraph"/>
      </w:pPr>
      <w:r>
        <w:t xml:space="preserve">This question was not part of the original design. It emerged during the build, when a defect was</w:t>
      </w:r>
      <w:r>
        <w:br/>
      </w:r>
      <w:r>
        <w:t xml:space="preserve">found by reading code that every test had passed. It turned out to be the most productive line of</w:t>
      </w:r>
      <w:r>
        <w:br/>
      </w:r>
      <w:r>
        <w:t xml:space="preserve">enquiry in the project, and section 7 is devoted to it.</w:t>
      </w:r>
    </w:p>
    <w:bookmarkEnd w:id="13"/>
    <w:bookmarkStart w:id="14" w:name="aims"/>
    <w:p>
      <w:pPr>
        <w:pStyle w:val="Heading3"/>
      </w:pPr>
      <w:r>
        <w:t xml:space="preserve">2.3 Aims</w:t>
      </w:r>
    </w:p>
    <w:p>
      <w:pPr>
        <w:pStyle w:val="Compact"/>
        <w:numPr>
          <w:ilvl w:val="0"/>
          <w:numId w:val="1002"/>
        </w:numPr>
      </w:pPr>
      <w:r>
        <w:t xml:space="preserve">Build a desktop application that reuses the AI account a student already has, and gives that AI</w:t>
      </w:r>
      <w:r>
        <w:br/>
      </w:r>
      <w:r>
        <w:t xml:space="preserve">access to the student’s own files under a boundary the student controls.</w:t>
      </w:r>
    </w:p>
    <w:p>
      <w:pPr>
        <w:pStyle w:val="Compact"/>
        <w:numPr>
          <w:ilvl w:val="0"/>
          <w:numId w:val="1002"/>
        </w:numPr>
      </w:pPr>
      <w:r>
        <w:t xml:space="preserve">Evaluate the application on three axes: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(does it run),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(what it costs the</w:t>
      </w:r>
      <w:r>
        <w:br/>
      </w:r>
      <w:r>
        <w:t xml:space="preserve">student), and</w:t>
      </w:r>
      <w:r>
        <w:t xml:space="preserve"> </w:t>
      </w:r>
      <w:r>
        <w:rPr>
          <w:b/>
          <w:bCs/>
        </w:rPr>
        <w:t xml:space="preserve">safety</w:t>
      </w:r>
      <w:r>
        <w:t xml:space="preserve"> </w:t>
      </w:r>
      <w:r>
        <w:t xml:space="preserve">(what it stops).</w:t>
      </w:r>
    </w:p>
    <w:p>
      <w:pPr>
        <w:pStyle w:val="Compact"/>
        <w:numPr>
          <w:ilvl w:val="0"/>
          <w:numId w:val="1002"/>
        </w:numPr>
      </w:pPr>
      <w:r>
        <w:t xml:space="preserve">Report the results honestly, including the ones that contradicted the design.</w:t>
      </w:r>
    </w:p>
    <w:p>
      <w:pPr>
        <w:pStyle w:val="FirstParagraph"/>
      </w:pPr>
      <w:r>
        <w:t xml:space="preserve">The aims deliberately exclude</w:t>
      </w:r>
      <w:r>
        <w:t xml:space="preserve"> </w:t>
      </w:r>
      <w:r>
        <w:t xml:space="preserve">“make AI cheaper”</w:t>
      </w:r>
      <w:r>
        <w:t xml:space="preserve"> </w:t>
      </w:r>
      <w:r>
        <w:t xml:space="preserve">and</w:t>
      </w:r>
      <w:r>
        <w:t xml:space="preserve"> </w:t>
      </w:r>
      <w:r>
        <w:t xml:space="preserve">“save tokens”</w:t>
      </w:r>
      <w:r>
        <w:t xml:space="preserve">. Both were considered and both are</w:t>
      </w:r>
      <w:r>
        <w:br/>
      </w:r>
      <w:r>
        <w:t xml:space="preserve">too narrow: the first is a vendor’s problem, and the second turned out to be a single feature rather</w:t>
      </w:r>
      <w:r>
        <w:br/>
      </w:r>
      <w:r>
        <w:t xml:space="preserve">than a thesis.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background"/>
    <w:p>
      <w:pPr>
        <w:pStyle w:val="Heading2"/>
      </w:pPr>
      <w:r>
        <w:t xml:space="preserve">3. Background</w:t>
      </w:r>
    </w:p>
    <w:bookmarkStart w:id="16" w:name="model-context-protocol"/>
    <w:p>
      <w:pPr>
        <w:pStyle w:val="Heading3"/>
      </w:pPr>
      <w:r>
        <w:t xml:space="preserve">3.1 Model Context Protocol</w:t>
      </w:r>
    </w:p>
    <w:p>
      <w:pPr>
        <w:pStyle w:val="FirstParagraph"/>
      </w:pPr>
      <w:r>
        <w:t xml:space="preserve">MCP is an open standard for exposing tools to an AI client over a transport the client already</w:t>
      </w:r>
      <w:r>
        <w:br/>
      </w:r>
      <w:r>
        <w:t xml:space="preserve">speaks. Its significance for this project is specific: it is what allows a cloud-hosted chat service</w:t>
      </w:r>
      <w:r>
        <w:br/>
      </w:r>
      <w:r>
        <w:t xml:space="preserve">to invoke a process on the user’s own machine without a bespoke integration for each vendor. Before</w:t>
      </w:r>
      <w:r>
        <w:br/>
      </w:r>
      <w:r>
        <w:t xml:space="preserve">MCP,</w:t>
      </w:r>
      <w:r>
        <w:t xml:space="preserve"> </w:t>
      </w:r>
      <w:r>
        <w:t xml:space="preserve">“give the model access to my files”</w:t>
      </w:r>
      <w:r>
        <w:t xml:space="preserve"> </w:t>
      </w:r>
      <w:r>
        <w:t xml:space="preserve">meant writing a plugin for one product; with MCP, it means</w:t>
      </w:r>
      <w:r>
        <w:br/>
      </w:r>
      <w:r>
        <w:t xml:space="preserve">running a server that any compliant client can reach.</w:t>
      </w:r>
    </w:p>
    <w:p>
      <w:pPr>
        <w:pStyle w:val="BodyText"/>
      </w:pPr>
      <w:r>
        <w:t xml:space="preserve">Pip implements the server side. It speaks Streamable HTTP on</w:t>
      </w:r>
      <w:r>
        <w:t xml:space="preserve"> </w:t>
      </w:r>
      <w:r>
        <w:rPr>
          <w:rStyle w:val="VerbatimChar"/>
        </w:rPr>
        <w:t xml:space="preserve">127.0.0.1:8787</w:t>
      </w:r>
      <w:r>
        <w:t xml:space="preserve">, is stateless, and</w:t>
      </w:r>
      <w:r>
        <w:br/>
      </w:r>
      <w:r>
        <w:t xml:space="preserve">requires a bearer token on every request.</w:t>
      </w:r>
    </w:p>
    <w:bookmarkEnd w:id="16"/>
    <w:bookmarkStart w:id="17" w:name="markitdown"/>
    <w:p>
      <w:pPr>
        <w:pStyle w:val="Heading3"/>
      </w:pPr>
      <w:r>
        <w:t xml:space="preserve">3.2 MarkItDown</w:t>
      </w:r>
    </w:p>
    <w:p>
      <w:pPr>
        <w:pStyle w:val="FirstParagraph"/>
      </w:pPr>
      <w:r>
        <w:t xml:space="preserve">Microsoft’s MarkItDown converts a range of document formats into Markdown while preserving heading</w:t>
      </w:r>
      <w:r>
        <w:br/>
      </w:r>
      <w:r>
        <w:t xml:space="preserve">structure. It was chosen over writing a converter because conversion is a solved problem and the</w:t>
      </w:r>
      <w:r>
        <w:br/>
      </w:r>
      <w:r>
        <w:t xml:space="preserve">interesting problem in this project is the permission boundary. MarkItDown is invoked through</w:t>
      </w:r>
      <w:r>
        <w:br/>
      </w:r>
      <w:r>
        <w:rPr>
          <w:rStyle w:val="VerbatimChar"/>
        </w:rPr>
        <w:t xml:space="preserve">convert_local()</w:t>
      </w:r>
      <w:r>
        <w:t xml:space="preserve"> </w:t>
      </w:r>
      <w:r>
        <w:t xml:space="preserve">only — never</w:t>
      </w:r>
      <w:r>
        <w:t xml:space="preserve"> </w:t>
      </w:r>
      <w:r>
        <w:rPr>
          <w:rStyle w:val="VerbatimChar"/>
        </w:rPr>
        <w:t xml:space="preserve">convert()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convert_url()</w:t>
      </w:r>
      <w:r>
        <w:t xml:space="preserve"> </w:t>
      </w:r>
      <w:r>
        <w:t xml:space="preserve">— so the sidecar cannot be steered at</w:t>
      </w:r>
      <w:r>
        <w:br/>
      </w:r>
      <w:r>
        <w:t xml:space="preserve">a remote URI.</w:t>
      </w:r>
    </w:p>
    <w:bookmarkEnd w:id="17"/>
    <w:bookmarkStart w:id="18" w:name="tauri"/>
    <w:p>
      <w:pPr>
        <w:pStyle w:val="Heading3"/>
      </w:pPr>
      <w:r>
        <w:t xml:space="preserve">3.3 Tauri</w:t>
      </w:r>
    </w:p>
    <w:p>
      <w:pPr>
        <w:pStyle w:val="FirstParagraph"/>
      </w:pPr>
      <w:r>
        <w:t xml:space="preserve">Tauri renders a web frontend inside the operating system’s own webview, with a Rust backend. It was</w:t>
      </w:r>
      <w:r>
        <w:br/>
      </w:r>
      <w:r>
        <w:t xml:space="preserve">chosen over Electron for two reasons. The first is binary size. The second matters more: in Tauri,</w:t>
      </w:r>
      <w:r>
        <w:br/>
      </w:r>
      <w:r>
        <w:t xml:space="preserve">calling out to the operating system is an explicit, reviewable command, whereas Electron’s Node</w:t>
      </w:r>
      <w:r>
        <w:br/>
      </w:r>
      <w:r>
        <w:t xml:space="preserve">integration makes the same capability ambient. For a project whose subject is a permission boundary,</w:t>
      </w:r>
      <w:r>
        <w:br/>
      </w:r>
      <w:r>
        <w:t xml:space="preserve">an ambient capability is the wrong foundation.</w:t>
      </w:r>
    </w:p>
    <w:bookmarkEnd w:id="18"/>
    <w:bookmarkStart w:id="19" w:name="the-gap-in-existing-tools"/>
    <w:p>
      <w:pPr>
        <w:pStyle w:val="Heading3"/>
      </w:pPr>
      <w:r>
        <w:t xml:space="preserve">3.4 The gap in existing tools</w:t>
      </w:r>
    </w:p>
    <w:p>
      <w:pPr>
        <w:pStyle w:val="FirstParagraph"/>
      </w:pPr>
      <w:r>
        <w:t xml:space="preserve">AI desktop clients already give an assistant access to local files. Two properties make them</w:t>
      </w:r>
      <w:r>
        <w:br/>
      </w:r>
      <w:r>
        <w:t xml:space="preserve">unsuitable for this user. The boundary is set by the vendor rather than the user, and the account is</w:t>
      </w:r>
      <w:r>
        <w:br/>
      </w:r>
      <w:r>
        <w:t xml:space="preserve">normally a paid tier. Neither is unreasonable as a product decision; both exclude the student this</w:t>
      </w:r>
      <w:r>
        <w:br/>
      </w:r>
      <w:r>
        <w:t xml:space="preserve">project is for.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hypotheses"/>
    <w:p>
      <w:pPr>
        <w:pStyle w:val="Heading2"/>
      </w:pPr>
      <w:r>
        <w:t xml:space="preserve">4. Hypotheses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0"/>
        <w:gridCol w:w="5280"/>
        <w:gridCol w:w="217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 — Capability</w:t>
            </w:r>
          </w:p>
        </w:tc>
        <w:tc>
          <w:tcPr/>
          <w:p>
            <w:pPr>
              <w:pStyle w:val="Compact"/>
            </w:pPr>
            <w:r>
              <w:t xml:space="preserve">A free-tier cloud chat account can reach a local MCP tool server and execute a tool call, with no API key, no local model and no paid plan.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 — Boundary</w:t>
            </w:r>
          </w:p>
        </w:tc>
        <w:tc>
          <w:tcPr/>
          <w:p>
            <w:pPr>
              <w:pStyle w:val="Compact"/>
            </w:pPr>
            <w:r>
              <w:t xml:space="preserve">A user-controlled permission layer — folder allowlist, path canonicalisation, approval before writes, token authentication, audit log — closes the majority of the risk surface of exposing local tools to a remote model.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 — Efficiency</w:t>
            </w:r>
          </w:p>
        </w:tc>
        <w:tc>
          <w:tcPr/>
          <w:p>
            <w:pPr>
              <w:pStyle w:val="Compact"/>
            </w:pPr>
            <w:r>
              <w:t xml:space="preserve">Converting a document to Markdown reduces the token cost of a prompt.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  <w:r>
              <w:t xml:space="preserve"> </w:t>
            </w:r>
            <w:r>
              <w:t xml:space="preserve">— conversion made prompts 12% and 4.5%</w:t>
            </w:r>
            <w:r>
              <w:t xml:space="preserve"> </w:t>
            </w:r>
            <w:r>
              <w:rPr>
                <w:i/>
                <w:iCs/>
              </w:rPr>
              <w:t xml:space="preserve">larger</w:t>
            </w:r>
            <w:r>
              <w:t xml:space="preserve"> </w:t>
            </w:r>
            <w:r>
              <w:t xml:space="preserve">on the two documents 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 revised</w:t>
            </w:r>
          </w:p>
        </w:tc>
        <w:tc>
          <w:tcPr/>
          <w:p>
            <w:pPr>
              <w:pStyle w:val="Compact"/>
            </w:pPr>
            <w:r>
              <w:t xml:space="preserve">Reading fewer pages reduces token cost, and page-level reading is only possible because the file stays local.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Supported</w:t>
            </w:r>
          </w:p>
        </w:tc>
      </w:tr>
    </w:tbl>
    <w:p>
      <w:pPr>
        <w:pStyle w:val="BodyText"/>
      </w:pPr>
      <w:r>
        <w:t xml:space="preserve">H3 was written before the first measurement and is reported as rejected. The rejection is a result,</w:t>
      </w:r>
      <w:r>
        <w:br/>
      </w:r>
      <w:r>
        <w:t xml:space="preserve">not a failure: it is the finding most likely to save another student a week, and it is what produced</w:t>
      </w:r>
      <w:r>
        <w:br/>
      </w:r>
      <w:r>
        <w:t xml:space="preserve">the measurement method used in section 6.3.</w:t>
      </w:r>
    </w:p>
    <w:p>
      <w:pPr>
        <w:pStyle w:val="BodyText"/>
      </w:pPr>
      <w:r>
        <w:t xml:space="preserve">The engineering goal was stated separately from H1 so that a working demonstration could not be</w:t>
      </w:r>
      <w:r>
        <w:br/>
      </w:r>
      <w:r>
        <w:t xml:space="preserve">mistaken for evidence: a document must travel from drag-and-drop to an assembled prompt, and a tool</w:t>
      </w:r>
      <w:r>
        <w:br/>
      </w:r>
      <w:r>
        <w:t xml:space="preserve">call must reach an approved write, in one continuous run.</w:t>
      </w:r>
    </w:p>
    <w:p>
      <w:r>
        <w:pict>
          <v:rect style="width:0;height:1.5pt" o:hralign="center" o:hrstd="t" o:hr="t"/>
        </w:pict>
      </w:r>
    </w:p>
    <w:bookmarkEnd w:id="21"/>
    <w:bookmarkStart w:id="26" w:name="methodology"/>
    <w:p>
      <w:pPr>
        <w:pStyle w:val="Heading2"/>
      </w:pPr>
      <w:r>
        <w:t xml:space="preserve">5. Methodology</w:t>
      </w:r>
    </w:p>
    <w:bookmarkStart w:id="22" w:name="build-strategy"/>
    <w:p>
      <w:pPr>
        <w:pStyle w:val="Heading3"/>
      </w:pPr>
      <w:r>
        <w:t xml:space="preserve">5.1 Build strategy</w:t>
      </w:r>
    </w:p>
    <w:p>
      <w:pPr>
        <w:pStyle w:val="FirstParagraph"/>
      </w:pPr>
      <w:r>
        <w:t xml:space="preserve">The application was built in three tiers over seven days, so that each tier would be a complete</w:t>
      </w:r>
      <w:r>
        <w:br/>
      </w:r>
      <w:r>
        <w:t xml:space="preserve">project if time ran out: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1</w:t>
      </w:r>
      <w:r>
        <w:t xml:space="preserve"> </w:t>
      </w:r>
      <w:r>
        <w:t xml:space="preserve">— the window: always-on-top, global hotkey, Pomodoro timer, quick notes.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2</w:t>
      </w:r>
      <w:r>
        <w:t xml:space="preserve"> </w:t>
      </w:r>
      <w:r>
        <w:t xml:space="preserve">— the document pipeline: drag-and-drop, local conversion, rendered Markdown preview</w:t>
      </w:r>
      <w:r>
        <w:t xml:space="preserve"> </w:t>
      </w:r>
      <w:r>
        <w:t xml:space="preserve">with an editable source, page</w:t>
      </w:r>
      <w:r>
        <w:br/>
      </w:r>
      <w:r>
        <w:t xml:space="preserve">selection, token counter.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3</w:t>
      </w:r>
      <w:r>
        <w:t xml:space="preserve"> </w:t>
      </w:r>
      <w:r>
        <w:t xml:space="preserve">— the tool layer: seven MCP tools, folder allowlist, approval prompt, audit log.</w:t>
      </w:r>
    </w:p>
    <w:p>
      <w:pPr>
        <w:pStyle w:val="FirstParagraph"/>
      </w:pPr>
      <w:r>
        <w:t xml:space="preserve">The riskiest unknown — whether a free account could reach a local server at all — was tested on day</w:t>
      </w:r>
      <w:r>
        <w:br/>
      </w:r>
      <w:r>
        <w:t xml:space="preserve">two, before Tier 2 was begun. A project that fails H1 is a different project, and it was worth</w:t>
      </w:r>
      <w:r>
        <w:br/>
      </w:r>
      <w:r>
        <w:t xml:space="preserve">knowing that early rather than late.</w:t>
      </w:r>
    </w:p>
    <w:bookmarkEnd w:id="22"/>
    <w:bookmarkStart w:id="23" w:name="evaluation-axis-1-function"/>
    <w:p>
      <w:pPr>
        <w:pStyle w:val="Heading3"/>
      </w:pPr>
      <w:r>
        <w:t xml:space="preserve">5.2 Evaluation, axis 1 — Function</w:t>
      </w:r>
    </w:p>
    <w:p>
      <w:pPr>
        <w:pStyle w:val="FirstParagraph"/>
      </w:pPr>
      <w:r>
        <w:t xml:space="preserve">The chain was decomposed into seven links, each recorded as pass, fail or untested. A link counts as</w:t>
      </w:r>
      <w:r>
        <w:t xml:space="preserve"> </w:t>
      </w:r>
      <w:r>
        <w:rPr>
          <w:i/>
          <w:iCs/>
        </w:rPr>
        <w:t xml:space="preserve">pass</w:t>
      </w:r>
      <w:r>
        <w:t xml:space="preserve"> </w:t>
      </w:r>
      <w:r>
        <w:t xml:space="preserve">only when observed in the running application, never when it merely compiles or passes a unit</w:t>
      </w:r>
      <w:r>
        <w:t xml:space="preserve"> </w:t>
      </w:r>
      <w:r>
        <w:t xml:space="preserve">test:</w:t>
      </w:r>
    </w:p>
    <w:p>
      <w:pPr>
        <w:pStyle w:val="Compact"/>
        <w:numPr>
          <w:ilvl w:val="0"/>
          <w:numId w:val="1004"/>
        </w:numPr>
      </w:pPr>
      <w:r>
        <w:t xml:space="preserve">Drag a file onto the Docs tab</w:t>
      </w:r>
    </w:p>
    <w:p>
      <w:pPr>
        <w:pStyle w:val="Compact"/>
        <w:numPr>
          <w:ilvl w:val="0"/>
          <w:numId w:val="1004"/>
        </w:numPr>
      </w:pPr>
      <w:r>
        <w:t xml:space="preserve">The application spawns the converter process</w:t>
      </w:r>
    </w:p>
    <w:p>
      <w:pPr>
        <w:pStyle w:val="Compact"/>
        <w:numPr>
          <w:ilvl w:val="0"/>
          <w:numId w:val="1004"/>
        </w:numPr>
      </w:pPr>
      <w:r>
        <w:t xml:space="preserve">MarkItDown returns a JSON envelope</w:t>
      </w:r>
    </w:p>
    <w:p>
      <w:pPr>
        <w:pStyle w:val="Compact"/>
        <w:numPr>
          <w:ilvl w:val="0"/>
          <w:numId w:val="1004"/>
        </w:numPr>
      </w:pPr>
      <w:r>
        <w:t xml:space="preserve">The preview renders</w:t>
      </w:r>
    </w:p>
    <w:p>
      <w:pPr>
        <w:pStyle w:val="Compact"/>
        <w:numPr>
          <w:ilvl w:val="0"/>
          <w:numId w:val="1004"/>
        </w:numPr>
      </w:pPr>
      <w:r>
        <w:t xml:space="preserve">Page selection updates the token counter</w:t>
      </w:r>
    </w:p>
    <w:p>
      <w:pPr>
        <w:pStyle w:val="Compact"/>
        <w:numPr>
          <w:ilvl w:val="0"/>
          <w:numId w:val="1004"/>
        </w:numPr>
      </w:pPr>
      <w:r>
        <w:t xml:space="preserve">The AI calls a tool and receives a result</w:t>
      </w:r>
    </w:p>
    <w:p>
      <w:pPr>
        <w:pStyle w:val="Compact"/>
        <w:numPr>
          <w:ilvl w:val="0"/>
          <w:numId w:val="1004"/>
        </w:numPr>
      </w:pPr>
      <w:r>
        <w:t xml:space="preserve">A write is blocked, approved, executed and logged</w:t>
      </w:r>
    </w:p>
    <w:bookmarkEnd w:id="23"/>
    <w:bookmarkStart w:id="24" w:name="evaluation-axis-2-safety"/>
    <w:p>
      <w:pPr>
        <w:pStyle w:val="Heading3"/>
      </w:pPr>
      <w:r>
        <w:t xml:space="preserve">5.3 Evaluation, axis 2 — Safety</w:t>
      </w:r>
    </w:p>
    <w:p>
      <w:pPr>
        <w:pStyle w:val="FirstParagraph"/>
      </w:pPr>
      <w:r>
        <w:t xml:space="preserve">Nine adversarial cases, each an attempt to do something the design says is impossible. A case passes</w:t>
      </w:r>
      <w:r>
        <w:t xml:space="preserve"> </w:t>
      </w:r>
      <w:r>
        <w:t xml:space="preserve">only if the attempt is refused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refusal is logged. Crucially, each case asserts the</w:t>
      </w:r>
      <w:r>
        <w:t xml:space="preserve"> </w:t>
      </w:r>
      <w:r>
        <w:rPr>
          <w:i/>
          <w:iCs/>
        </w:rPr>
        <w:t xml:space="preserve">specific reason</w:t>
      </w:r>
      <w:r>
        <w:t xml:space="preserve"> </w:t>
      </w:r>
      <w:r>
        <w:t xml:space="preserve">for refusal, not merely that the operation failed — a distinction that turned out</w:t>
      </w:r>
      <w:r>
        <w:t xml:space="preserve"> </w:t>
      </w:r>
      <w:r>
        <w:t xml:space="preserve">to matter (section 7.4).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Relative traversal,</w:t>
            </w:r>
            <w:r>
              <w:t xml:space="preserve"> </w:t>
            </w:r>
            <w:r>
              <w:rPr>
                <w:rStyle w:val="VerbatimChar"/>
              </w:rPr>
              <w:t xml:space="preserve">../../../../etc/passwd</w:t>
            </w:r>
          </w:p>
        </w:tc>
        <w:tc>
          <w:tcPr/>
          <w:p>
            <w:pPr>
              <w:pStyle w:val="Compact"/>
            </w:pPr>
            <w:r>
              <w:t xml:space="preserve">refused by containment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Absolute path outside the allowlist,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</w:pPr>
            <w:r>
              <w:t xml:space="preserve">refused by containment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header with an empty configured token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Unauthenticated request through the public tunnel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Read a folder never added to the allowlist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Write with no approval decision</w:t>
            </w:r>
          </w:p>
        </w:tc>
        <w:tc>
          <w:tcPr/>
          <w:p>
            <w:pPr>
              <w:pStyle w:val="Compact"/>
            </w:pPr>
            <w:r>
              <w:t xml:space="preserve">held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Symlink inside an allowed folder pointing outside it</w:t>
            </w:r>
          </w:p>
        </w:tc>
        <w:tc>
          <w:tcPr/>
          <w:p>
            <w:pPr>
              <w:pStyle w:val="Compact"/>
            </w:pPr>
            <w:r>
              <w:t xml:space="preserve">refused by containment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 note the model wrote, read back as an instruction</w:t>
            </w:r>
          </w:p>
        </w:tc>
        <w:tc>
          <w:tcPr/>
          <w:p>
            <w:pPr>
              <w:pStyle w:val="Compact"/>
            </w:pPr>
            <w:r>
              <w:t xml:space="preserve">fenced as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Folder swapped between validation and conversion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 open</w:t>
            </w:r>
          </w:p>
        </w:tc>
      </w:tr>
    </w:tbl>
    <w:bookmarkEnd w:id="24"/>
    <w:bookmarkStart w:id="25" w:name="evaluation-axis-3-cost-and-efficiency"/>
    <w:p>
      <w:pPr>
        <w:pStyle w:val="Heading3"/>
      </w:pPr>
      <w:r>
        <w:t xml:space="preserve">5.4 Evaluation, axis 3 — Cost and efficiency</w:t>
      </w:r>
    </w:p>
    <w:p>
      <w:pPr>
        <w:pStyle w:val="FirstParagraph"/>
      </w:pPr>
      <w:r>
        <w:t xml:space="preserve">Marginal cost to the student was measured as three components: subscription delta (the account</w:t>
      </w:r>
      <w:r>
        <w:t xml:space="preserve"> </w:t>
      </w:r>
      <w:r>
        <w:t xml:space="preserve">already exists — is a higher tier required?), tunnel tier, and hardware (an existing laptop or a</w:t>
      </w:r>
      <w:r>
        <w:t xml:space="preserve"> </w:t>
      </w:r>
      <w:r>
        <w:t xml:space="preserve">purchase?). The comparison arm is the same documents sent through a paid API at list price.</w:t>
      </w:r>
    </w:p>
    <w:p>
      <w:pPr>
        <w:pStyle w:val="BodyText"/>
      </w:pPr>
      <w:r>
        <w:t xml:space="preserve">Token efficiency is reported as a</w:t>
      </w:r>
      <w:r>
        <w:t xml:space="preserve"> </w:t>
      </w:r>
      <w:r>
        <w:rPr>
          <w:b/>
          <w:bCs/>
        </w:rPr>
        <w:t xml:space="preserve">sub-metric</w:t>
      </w:r>
      <w:r>
        <w:t xml:space="preserve">, not as the project’s thesis. Token counts are</w:t>
      </w:r>
      <w:r>
        <w:t xml:space="preserve"> </w:t>
      </w:r>
      <w:r>
        <w:t xml:space="preserve">produced by a shared estimator — approximately one token per four characters, plus half a token per</w:t>
      </w:r>
      <w:r>
        <w:t xml:space="preserve"> </w:t>
      </w:r>
      <w:r>
        <w:t xml:space="preserve">non-ASCII character — used identically by the application and the server so the figures are</w:t>
      </w:r>
      <w:r>
        <w:t xml:space="preserve"> </w:t>
      </w:r>
      <w:r>
        <w:t xml:space="preserve">comparable. It is not a tokeniser count, and section 9 says so.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results"/>
    <w:p>
      <w:pPr>
        <w:pStyle w:val="Heading2"/>
      </w:pPr>
      <w:r>
        <w:t xml:space="preserve">6. Results</w:t>
      </w:r>
    </w:p>
    <w:bookmarkStart w:id="27" w:name="function"/>
    <w:p>
      <w:pPr>
        <w:pStyle w:val="Heading3"/>
      </w:pPr>
      <w:r>
        <w:t xml:space="preserve">6.1 Function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Drag a file onto the Docs tab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Spawn the converter process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MarkItDown returns a JSON envelope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preview renders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Page selection updates the counter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AI calls a tool and receives a result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 write is blocked, approved, executed and logged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</w:tr>
    </w:tbl>
    <w:p>
      <w:pPr>
        <w:pStyle w:val="BodyText"/>
      </w:pPr>
      <w:r>
        <w:t xml:space="preserve">Six of seven links were observed. The seventh is implemented and unit-tested on both halves — the</w:t>
      </w:r>
      <w:r>
        <w:t xml:space="preserve"> </w:t>
      </w:r>
      <w:r>
        <w:t xml:space="preserve">server raises the request, the application answers it — but the two halves have not been watched</w:t>
      </w:r>
      <w:r>
        <w:t xml:space="preserve"> </w:t>
      </w:r>
      <w:r>
        <w:t xml:space="preserve">communicating in a single run. It is recorded as pending rather than passed, because</w:t>
      </w:r>
      <w:r>
        <w:t xml:space="preserve"> </w:t>
      </w:r>
      <w:r>
        <w:t xml:space="preserve">“the halves are</w:t>
      </w:r>
      <w:r>
        <w:t xml:space="preserve"> </w:t>
      </w:r>
      <w:r>
        <w:t xml:space="preserve">tested”</w:t>
      </w:r>
      <w:r>
        <w:t xml:space="preserve"> </w:t>
      </w:r>
      <w:r>
        <w:t xml:space="preserve">is not the same claim as</w:t>
      </w:r>
      <w:r>
        <w:t xml:space="preserve"> </w:t>
      </w:r>
      <w:r>
        <w:t xml:space="preserve">“the whole works”</w:t>
      </w:r>
      <w:r>
        <w:t xml:space="preserve">.</w:t>
      </w:r>
    </w:p>
    <w:bookmarkEnd w:id="27"/>
    <w:bookmarkStart w:id="28" w:name="safety"/>
    <w:p>
      <w:pPr>
        <w:pStyle w:val="Heading3"/>
      </w:pPr>
      <w:r>
        <w:t xml:space="preserve">6.2 Safety</w:t>
      </w:r>
    </w:p>
    <w:p>
      <w:pPr>
        <w:pStyle w:val="FirstParagraph"/>
      </w:pPr>
      <w:r>
        <w:t xml:space="preserve">Eight of nine cases pass. The ninth is open by design.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traversal</w:t>
            </w:r>
          </w:p>
        </w:tc>
        <w:tc>
          <w:tcPr/>
          <w:p>
            <w:pPr>
              <w:pStyle w:val="Compact"/>
            </w:pPr>
            <w:r>
              <w:t xml:space="preserve">Refused; refusal names containment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path outside the allowlist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token with no credentials</w:t>
            </w:r>
          </w:p>
        </w:tc>
        <w:tc>
          <w:tcPr/>
          <w:p>
            <w:pPr>
              <w:pStyle w:val="Compact"/>
            </w:pPr>
            <w:r>
              <w:t xml:space="preserve">Refused (after being found broken — section 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request through the tunnel</w:t>
            </w:r>
          </w:p>
        </w:tc>
        <w:tc>
          <w:tcPr/>
          <w:p>
            <w:pPr>
              <w:pStyle w:val="Compac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Ungranted folder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without approval</w:t>
            </w:r>
          </w:p>
        </w:tc>
        <w:tc>
          <w:tcPr/>
          <w:p>
            <w:pPr>
              <w:pStyle w:val="Compact"/>
            </w:pPr>
            <w:r>
              <w:t xml:space="preserve">Held pending, not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Symlink escaping the allowlist</w:t>
            </w:r>
          </w:p>
        </w:tc>
        <w:tc>
          <w:tcPr/>
          <w:p>
            <w:pPr>
              <w:pStyle w:val="Compact"/>
            </w:pPr>
            <w:r>
              <w:t xml:space="preserve">Refused; refusal names containment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read back as an instruction</w:t>
            </w:r>
          </w:p>
        </w:tc>
        <w:tc>
          <w:tcPr/>
          <w:p>
            <w:pPr>
              <w:pStyle w:val="Compact"/>
            </w:pPr>
            <w:r>
              <w:t xml:space="preserve">Fenced as untrusted data (after being found unfenced — section 7.2)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 swapped between check and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</w:tbl>
    <w:p>
      <w:pPr>
        <w:pStyle w:val="BodyText"/>
      </w:pPr>
      <w:r>
        <w:t xml:space="preserve">The open case is a time-of-check-to-time-of-use race: a path is validated, and then used, and the</w:t>
      </w:r>
      <w:r>
        <w:t xml:space="preserve"> </w:t>
      </w:r>
      <w:r>
        <w:t xml:space="preserve">filesystem can change in between. Closing it requires holding a file descriptor or running the</w:t>
      </w:r>
      <w:r>
        <w:t xml:space="preserve"> </w:t>
      </w:r>
      <w:r>
        <w:t xml:space="preserve">conversion inside an OS-level sandbox. Neither is achievable in JavaScript, and both are out of scope</w:t>
      </w:r>
      <w:r>
        <w:t xml:space="preserve"> </w:t>
      </w:r>
      <w:r>
        <w:t xml:space="preserve">for a seven-day build. It is listed rather than hidden because a judge who finds it unlisted learns</w:t>
      </w:r>
      <w:r>
        <w:t xml:space="preserve"> </w:t>
      </w:r>
      <w:r>
        <w:t xml:space="preserve">something about the team; a judge who finds it listed learns something about the project.</w:t>
      </w:r>
    </w:p>
    <w:bookmarkEnd w:id="28"/>
    <w:bookmarkStart w:id="29" w:name="cost"/>
    <w:p>
      <w:pPr>
        <w:pStyle w:val="Heading3"/>
      </w:pPr>
      <w:r>
        <w:t xml:space="preserve">6.3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Cost to the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delta</w:t>
            </w:r>
          </w:p>
        </w:tc>
        <w:tc>
          <w:tcPr/>
          <w:p>
            <w:pPr>
              <w:pStyle w:val="Compact"/>
            </w:pPr>
            <w:r>
              <w:t xml:space="preserve">Rp 0 — the existing free account is used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tier</w:t>
            </w:r>
          </w:p>
        </w:tc>
        <w:tc>
          <w:tcPr/>
          <w:p>
            <w:pPr>
              <w:pStyle w:val="Compact"/>
            </w:pPr>
            <w:r>
              <w:t xml:space="preserve">Rp 0 — free tier is sufficient for a 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Rp 0 — an existing 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</w:tr>
    </w:tbl>
    <w:p>
      <w:pPr>
        <w:pStyle w:val="BodyText"/>
      </w:pPr>
      <w:r>
        <w:t xml:space="preserve">The comparison arm is a paid API at list price, which for a student doing coursework runs to a</w:t>
      </w:r>
      <w:r>
        <w:t xml:space="preserve"> </w:t>
      </w:r>
      <w:r>
        <w:t xml:space="preserve">monthly bill that the free account does not. The margin is therefore the whole cost, not a percentage</w:t>
      </w:r>
      <w:r>
        <w:t xml:space="preserve"> </w:t>
      </w:r>
      <w:r>
        <w:t xml:space="preserve">of it.</w:t>
      </w:r>
    </w:p>
    <w:bookmarkEnd w:id="29"/>
    <w:bookmarkStart w:id="30" w:name="one-tool-measured-the-document-converter"/>
    <w:p>
      <w:pPr>
        <w:pStyle w:val="Heading3"/>
      </w:pPr>
      <w:r>
        <w:t xml:space="preserve">6.4 One tool, measured: the document converter</w:t>
      </w:r>
    </w:p>
    <w:p>
      <w:pPr>
        <w:pStyle w:val="FirstParagraph"/>
      </w:pPr>
      <w:r>
        <w:t xml:space="preserve">The converter is the only part of Pip that can be measured on its own, so it was. It is worth being</w:t>
      </w:r>
      <w:r>
        <w:t xml:space="preserve"> </w:t>
      </w:r>
      <w:r>
        <w:t xml:space="preserve">clear about what it is: a two-hundred-line wrapper around Microsoft’s MarkItDown, one of seven tools,</w:t>
      </w:r>
      <w:r>
        <w:t xml:space="preserve"> </w:t>
      </w:r>
      <w:r>
        <w:t xml:space="preserve">included because reading a PDF should not require a separate application. It is not the contribution.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Against pasting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Paste the document by hand</w:t>
            </w:r>
          </w:p>
        </w:tc>
        <w:tc>
          <w:tcPr/>
          <w:p>
            <w:pPr>
              <w:pStyle w:val="Compact"/>
            </w:pPr>
            <w:r>
              <w:t xml:space="preserve">1,844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 to Markdown, send everything</w:t>
            </w:r>
          </w:p>
        </w:tc>
        <w:tc>
          <w:tcPr/>
          <w:p>
            <w:pPr>
              <w:pStyle w:val="Compact"/>
            </w:pPr>
            <w:r>
              <w:t xml:space="preserve">2,067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+12% (worse)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Convert, send pages 2–3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−63%</w:t>
            </w:r>
          </w:p>
        </w:tc>
      </w:tr>
    </w:tbl>
    <w:p>
      <w:pPr>
        <w:pStyle w:val="BodyText"/>
      </w:pPr>
      <w:r>
        <w:t xml:space="preserve">Conversion on its own makes the prompt</w:t>
      </w:r>
      <w:r>
        <w:t xml:space="preserve"> </w:t>
      </w:r>
      <w:r>
        <w:rPr>
          <w:i/>
          <w:iCs/>
        </w:rPr>
        <w:t xml:space="preserve">larger</w:t>
      </w:r>
      <w:r>
        <w:t xml:space="preserve">, by 12% on this document and 4.5% on the DOCX below.</w:t>
      </w:r>
      <w:r>
        <w:t xml:space="preserve"> </w:t>
      </w:r>
      <w:r>
        <w:t xml:space="preserve">The structure MarkItDown adds — headings, list markers, table pipes — costs characters, and characters</w:t>
      </w:r>
      <w:r>
        <w:t xml:space="preserve"> </w:t>
      </w:r>
      <w:r>
        <w:t xml:space="preserve">are tokens.</w:t>
      </w:r>
    </w:p>
    <w:p>
      <w:pPr>
        <w:pStyle w:val="BodyText"/>
      </w:pPr>
      <w:r>
        <w:t xml:space="preserve">What wins is selection, and selection is a property of the architecture rather than of the converter:</w:t>
      </w:r>
      <w:r>
        <w:t xml:space="preserve"> </w:t>
      </w:r>
      <w:r>
        <w:t xml:space="preserve">a model holding a path can ask for a page range. Sending two pages of six costs 686 tokens against</w:t>
      </w:r>
      <w:r>
        <w:t xml:space="preserve"> </w:t>
      </w:r>
      <w:r>
        <w:t xml:space="preserve">1,844 for pasting the whole document, a 63% reduction; against sending the converted whole document</w:t>
      </w:r>
      <w:r>
        <w:t xml:space="preserve"> </w:t>
      </w:r>
      <w:r>
        <w:t xml:space="preserve">it is a 67% reduction. Six of the 686 tokens are the</w:t>
      </w:r>
      <w:r>
        <w:t xml:space="preserve"> </w:t>
      </w:r>
      <w:r>
        <w:rPr>
          <w:rStyle w:val="VerbatimChar"/>
        </w:rPr>
        <w:t xml:space="preserve">[p.2]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[p.3]</w:t>
      </w:r>
      <w:r>
        <w:t xml:space="preserve"> </w:t>
      </w:r>
      <w:r>
        <w:t xml:space="preserve">markers that let the model</w:t>
      </w:r>
      <w:r>
        <w:t xml:space="preserve"> </w:t>
      </w:r>
      <w:r>
        <w:t xml:space="preserve">cite a page rather than</w:t>
      </w:r>
      <w:r>
        <w:t xml:space="preserve"> </w:t>
      </w:r>
      <w:r>
        <w:t xml:space="preserve">“the document”</w:t>
      </w:r>
      <w:r>
        <w:t xml:space="preserve">.</w:t>
      </w:r>
    </w:p>
    <w:p>
      <w:pPr>
        <w:pStyle w:val="BodyText"/>
      </w:pPr>
      <w:r>
        <w:t xml:space="preserve">A second measurement, on a one-page DOCX activity sheet, produced 552 tokens of raw text against 577</w:t>
      </w:r>
      <w:r>
        <w:t xml:space="preserve"> </w:t>
      </w:r>
      <w:r>
        <w:t xml:space="preserve">of Markdown — again larger, and again no saving from conversion alone.</w:t>
      </w:r>
    </w:p>
    <w:bookmarkEnd w:id="30"/>
    <w:bookmarkStart w:id="31" w:name="the-engineering-goal"/>
    <w:p>
      <w:pPr>
        <w:pStyle w:val="Heading3"/>
      </w:pPr>
      <w:r>
        <w:t xml:space="preserve">6.5 The engineering goal</w:t>
      </w:r>
    </w:p>
    <w:p>
      <w:pPr>
        <w:pStyle w:val="FirstParagraph"/>
      </w:pPr>
      <w:r>
        <w:t xml:space="preserve">Not achieved as stated. The chain was verified link by link but never in one continuous run before</w:t>
      </w:r>
      <w:r>
        <w:t xml:space="preserve"> </w:t>
      </w:r>
      <w:r>
        <w:t xml:space="preserve">this report was written. The distinction is recorded here rather than smoothed over.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errors-found-and-what-they-taught"/>
    <w:p>
      <w:pPr>
        <w:pStyle w:val="Heading2"/>
      </w:pPr>
      <w:r>
        <w:t xml:space="preserve">7. Errors found, and what they taught</w:t>
      </w:r>
    </w:p>
    <w:p>
      <w:pPr>
        <w:pStyle w:val="FirstParagraph"/>
      </w:pPr>
      <w:r>
        <w:t xml:space="preserve">This section answers the secondary research question. Four defects were found during the build, and</w:t>
      </w:r>
      <w:r>
        <w:t xml:space="preserve"> </w:t>
      </w:r>
      <w:r>
        <w:t xml:space="preserve">the pattern in how they were found is more useful than any of them individually.</w:t>
      </w:r>
    </w:p>
    <w:bookmarkStart w:id="33" w:name="an-empty-token-authorised-every-request"/>
    <w:p>
      <w:pPr>
        <w:pStyle w:val="Heading3"/>
      </w:pPr>
      <w:r>
        <w:t xml:space="preserve">7.1 An empty token authorised every request</w:t>
      </w:r>
    </w:p>
    <w:p>
      <w:pPr>
        <w:pStyle w:val="FirstParagraph"/>
      </w:pPr>
      <w:r>
        <w:t xml:space="preserve">The server’s token check compared a configured token against the request header. When the configured</w:t>
      </w:r>
      <w:r>
        <w:t xml:space="preserve"> </w:t>
      </w:r>
      <w:r>
        <w:t xml:space="preserve">token was an empty string, it compared equal to a</w:t>
      </w:r>
      <w:r>
        <w:t xml:space="preserve"> </w:t>
      </w:r>
      <w:r>
        <w:rPr>
          <w:i/>
          <w:iCs/>
        </w:rPr>
        <w:t xml:space="preserve">missing</w:t>
      </w:r>
      <w:r>
        <w:t xml:space="preserve"> </w:t>
      </w:r>
      <w:r>
        <w:t xml:space="preserve">header, so a request with no credentials</w:t>
      </w:r>
      <w:r>
        <w:t xml:space="preserve"> </w:t>
      </w:r>
      <w:r>
        <w:t xml:space="preserve">returned HTTP 200 and a tool result.</w:t>
      </w:r>
    </w:p>
    <w:p>
      <w:pPr>
        <w:pStyle w:val="BodyText"/>
      </w:pPr>
      <w:r>
        <w:rPr>
          <w:b/>
          <w:bCs/>
        </w:rPr>
        <w:t xml:space="preserve">Found by:</w:t>
      </w:r>
      <w:r>
        <w:t xml:space="preserve"> </w:t>
      </w:r>
      <w:r>
        <w:t xml:space="preserve">adversarial testing, case 3.</w:t>
      </w:r>
      <w:r>
        <w:t xml:space="preserve"> </w:t>
      </w:r>
      <w:r>
        <w:rPr>
          <w:b/>
          <w:bCs/>
        </w:rPr>
        <w:t xml:space="preserve">Fixed by:</w:t>
      </w:r>
      <w:r>
        <w:t xml:space="preserve"> </w:t>
      </w:r>
      <w:r>
        <w:t xml:space="preserve">rejecting empty credentials before comparison, and refusing to start with a token</w:t>
      </w:r>
      <w:r>
        <w:t xml:space="preserve"> </w:t>
      </w:r>
      <w:r>
        <w:t xml:space="preserve">shorter than sixteen characters.</w:t>
      </w:r>
      <w:r>
        <w:t xml:space="preserve"> </w:t>
      </w:r>
      <w:r>
        <w:rPr>
          <w:b/>
          <w:bCs/>
        </w:rPr>
        <w:t xml:space="preserve">What it taught:</w:t>
      </w:r>
      <w:r>
        <w:t xml:space="preserve"> </w:t>
      </w:r>
      <w:r>
        <w:t xml:space="preserve">“is authentication on?”</w:t>
      </w:r>
      <w:r>
        <w:t xml:space="preserve"> </w:t>
      </w:r>
      <w:r>
        <w:t xml:space="preserve">is not a question a passing test suite answers. The test</w:t>
      </w:r>
      <w:r>
        <w:t xml:space="preserve"> </w:t>
      </w:r>
      <w:r>
        <w:t xml:space="preserve">suite was green while the bypass was live on the main branch.</w:t>
      </w:r>
    </w:p>
    <w:bookmarkEnd w:id="33"/>
    <w:bookmarkStart w:id="34" w:name="one-tool-returned-unfenced-text"/>
    <w:p>
      <w:pPr>
        <w:pStyle w:val="Heading3"/>
      </w:pPr>
      <w:r>
        <w:t xml:space="preserve">7.2 One tool returned unfenced text</w:t>
      </w:r>
    </w:p>
    <w:p>
      <w:pPr>
        <w:pStyle w:val="FirstParagraph"/>
      </w:pPr>
      <w:r>
        <w:rPr>
          <w:rStyle w:val="VerbatimChar"/>
        </w:rPr>
        <w:t xml:space="preserve">read_document_as_markdown</w:t>
      </w:r>
      <w:r>
        <w:t xml:space="preserve"> </w:t>
      </w:r>
      <w:r>
        <w:t xml:space="preserve">wrapped its output in an explicit untrusted-document fence.</w:t>
      </w:r>
      <w:r>
        <w:t xml:space="preserve"> </w:t>
      </w:r>
      <w:r>
        <w:rPr>
          <w:rStyle w:val="VerbatimChar"/>
        </w:rPr>
        <w:t xml:space="preserve">search_notes</w:t>
      </w:r>
      <w:r>
        <w:t xml:space="preserve"> </w:t>
      </w:r>
      <w:r>
        <w:t xml:space="preserve">did not — it returned raw file lines, so a note containing an instruction arrived at the model as</w:t>
      </w:r>
      <w:r>
        <w:t xml:space="preserve"> </w:t>
      </w:r>
      <w:r>
        <w:t xml:space="preserve">ordinary text. Because</w:t>
      </w:r>
      <w:r>
        <w:t xml:space="preserve"> </w:t>
      </w:r>
      <w:r>
        <w:rPr>
          <w:rStyle w:val="VerbatimChar"/>
        </w:rPr>
        <w:t xml:space="preserve">create_note</w:t>
      </w:r>
      <w:r>
        <w:t xml:space="preserve"> </w:t>
      </w:r>
      <w:r>
        <w:t xml:space="preserve">lets the model write into that same folder, the model could</w:t>
      </w:r>
      <w:r>
        <w:t xml:space="preserve"> </w:t>
      </w:r>
      <w:r>
        <w:t xml:space="preserve">plant text it would later read back as if it were the user’s.</w:t>
      </w:r>
    </w:p>
    <w:p>
      <w:pPr>
        <w:pStyle w:val="BodyText"/>
      </w:pPr>
      <w:r>
        <w:rPr>
          <w:b/>
          <w:bCs/>
        </w:rPr>
        <w:t xml:space="preserve">Found by:</w:t>
      </w:r>
      <w:r>
        <w:t xml:space="preserve"> </w:t>
      </w:r>
      <w:r>
        <w:t xml:space="preserve">reading the tool layer against the design, not by any test.</w:t>
      </w:r>
      <w:r>
        <w:t xml:space="preserve"> </w:t>
      </w:r>
      <w:r>
        <w:rPr>
          <w:b/>
          <w:bCs/>
        </w:rPr>
        <w:t xml:space="preserve">Fixed by:</w:t>
      </w:r>
      <w:r>
        <w:t xml:space="preserve"> </w:t>
      </w:r>
      <w:r>
        <w:t xml:space="preserve">routing search results through the same fence and the same size cap.</w:t>
      </w:r>
      <w:r>
        <w:t xml:space="preserve"> </w:t>
      </w:r>
      <w:r>
        <w:rPr>
          <w:b/>
          <w:bCs/>
        </w:rPr>
        <w:t xml:space="preserve">What it taught:</w:t>
      </w:r>
      <w:r>
        <w:t xml:space="preserve"> </w:t>
      </w:r>
      <w:r>
        <w:t xml:space="preserve">a safety property is only a property if every path implements it. Three of four</w:t>
      </w:r>
      <w:r>
        <w:t xml:space="preserve"> </w:t>
      </w:r>
      <w:r>
        <w:t xml:space="preserve">tools had it; the fourth was a closed loop.</w:t>
      </w:r>
    </w:p>
    <w:bookmarkEnd w:id="34"/>
    <w:bookmarkStart w:id="35" w:name="X9024efd816d86c6d7819afbea84af78f2aa5fc7"/>
    <w:p>
      <w:pPr>
        <w:pStyle w:val="Heading3"/>
      </w:pPr>
      <w:r>
        <w:t xml:space="preserve">7.3 A permission that existed only at runtime</w:t>
      </w:r>
    </w:p>
    <w:p>
      <w:pPr>
        <w:pStyle w:val="FirstParagraph"/>
      </w:pPr>
      <w:r>
        <w:t xml:space="preserve">Clicking a saved note failed with</w:t>
      </w:r>
      <w:r>
        <w:t xml:space="preserve"> </w:t>
      </w:r>
      <w:r>
        <w:rPr>
          <w:rStyle w:val="VerbatimChar"/>
        </w:rPr>
        <w:t xml:space="preserve">opener.open_path not allowed</w:t>
      </w:r>
      <w:r>
        <w:t xml:space="preserve">. The Tauri capability granted</w:t>
      </w:r>
      <w:r>
        <w:t xml:space="preserve"> </w:t>
      </w:r>
      <w:r>
        <w:rPr>
          <w:rStyle w:val="VerbatimChar"/>
        </w:rPr>
        <w:t xml:space="preserve">opener:default</w:t>
      </w:r>
      <w:r>
        <w:t xml:space="preserve">, which includes</w:t>
      </w:r>
      <w:r>
        <w:t xml:space="preserve"> </w:t>
      </w:r>
      <w:r>
        <w:rPr>
          <w:rStyle w:val="VerbatimChar"/>
        </w:rPr>
        <w:t xml:space="preserve">open_url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reveal_item_in_dir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open_path</w:t>
      </w:r>
      <w:r>
        <w:t xml:space="preserve">. The</w:t>
      </w:r>
      <w:r>
        <w:t xml:space="preserve"> </w:t>
      </w:r>
      <w:r>
        <w:t xml:space="preserve">button had never worked, because the only caller was removed with an earlier feature.</w:t>
      </w:r>
    </w:p>
    <w:p>
      <w:pPr>
        <w:pStyle w:val="BodyText"/>
      </w:pPr>
      <w:r>
        <w:rPr>
          <w:b/>
          <w:bCs/>
        </w:rPr>
        <w:t xml:space="preserve">Found by:</w:t>
      </w:r>
      <w:r>
        <w:t xml:space="preserve"> </w:t>
      </w:r>
      <w:r>
        <w:t xml:space="preserve">running the application.</w:t>
      </w:r>
      <w:r>
        <w:t xml:space="preserve"> </w:t>
      </w:r>
      <w:r>
        <w:rPr>
          <w:b/>
          <w:bCs/>
        </w:rPr>
        <w:t xml:space="preserve">Fixed by:</w:t>
      </w:r>
      <w:r>
        <w:t xml:space="preserve"> </w:t>
      </w:r>
      <w:r>
        <w:t xml:space="preserve">granting</w:t>
      </w:r>
      <w:r>
        <w:t xml:space="preserve"> </w:t>
      </w:r>
      <w:r>
        <w:rPr>
          <w:rStyle w:val="VerbatimChar"/>
        </w:rPr>
        <w:t xml:space="preserve">opener:allow-open-path</w:t>
      </w:r>
      <w:r>
        <w:t xml:space="preserve">, scoped to the notes folder rather than left</w:t>
      </w:r>
      <w:r>
        <w:t xml:space="preserve"> </w:t>
      </w:r>
      <w:r>
        <w:t xml:space="preserve">unscoped.</w:t>
      </w:r>
      <w:r>
        <w:t xml:space="preserve"> </w:t>
      </w:r>
      <w:r>
        <w:rPr>
          <w:b/>
          <w:bCs/>
        </w:rPr>
        <w:t xml:space="preserve">What it taught:</w:t>
      </w:r>
      <w:r>
        <w:t xml:space="preserve"> </w:t>
      </w:r>
      <w:r>
        <w:t xml:space="preserve">a capability boundary is enforced at the IPC layer, which no unit test crosses.</w:t>
      </w:r>
      <w:r>
        <w:t xml:space="preserve"> </w:t>
      </w:r>
      <w:r>
        <w:t xml:space="preserve">This is the clearest argument for the end-to-end run in section 6.4.</w:t>
      </w:r>
    </w:p>
    <w:bookmarkEnd w:id="35"/>
    <w:bookmarkStart w:id="36" w:name="X7ab234d43b81baad924ceb1a5c6d57dd6ffe2ea"/>
    <w:p>
      <w:pPr>
        <w:pStyle w:val="Heading3"/>
      </w:pPr>
      <w:r>
        <w:t xml:space="preserve">7.4 Two tests that passed for the wrong reason</w:t>
      </w:r>
    </w:p>
    <w:p>
      <w:pPr>
        <w:pStyle w:val="FirstParagraph"/>
      </w:pPr>
      <w:r>
        <w:t xml:space="preserve">The symlink test created its link in a temporary notes folder but requested a path in the real one,</w:t>
      </w:r>
      <w:r>
        <w:t xml:space="preserve"> </w:t>
      </w:r>
      <w:r>
        <w:t xml:space="preserve">so the request failed because the file did not exist. The traversal test used four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segments,</w:t>
      </w:r>
      <w:r>
        <w:t xml:space="preserve"> </w:t>
      </w:r>
      <w:r>
        <w:t xml:space="preserve">which resolved to</w:t>
      </w:r>
      <w:r>
        <w:t xml:space="preserve"> </w:t>
      </w:r>
      <w:r>
        <w:rPr>
          <w:rStyle w:val="VerbatimChar"/>
        </w:rPr>
        <w:t xml:space="preserve">Documents/etc/passwd</w:t>
      </w:r>
      <w:r>
        <w:t xml:space="preserve"> </w:t>
      </w:r>
      <w:r>
        <w:t xml:space="preserve">— not the root — so it too failed on a missing file. Both</w:t>
      </w:r>
      <w:r>
        <w:t xml:space="preserve"> </w:t>
      </w:r>
      <w:r>
        <w:t xml:space="preserve">asserted only</w:t>
      </w:r>
      <w:r>
        <w:t xml:space="preserve"> </w:t>
      </w:r>
      <w:r>
        <w:t xml:space="preserve">“Not allowed”</w:t>
      </w:r>
      <w:r>
        <w:t xml:space="preserve">, which is also what a missing file returns.</w:t>
      </w:r>
    </w:p>
    <w:p>
      <w:pPr>
        <w:pStyle w:val="BodyText"/>
      </w:pPr>
      <w:r>
        <w:rPr>
          <w:b/>
          <w:bCs/>
        </w:rPr>
        <w:t xml:space="preserve">Found by:</w:t>
      </w:r>
      <w:r>
        <w:t xml:space="preserve"> </w:t>
      </w:r>
      <w:r>
        <w:t xml:space="preserve">adding an assertion that the refusal must name</w:t>
      </w:r>
      <w:r>
        <w:t xml:space="preserve"> </w:t>
      </w:r>
      <w:r>
        <w:rPr>
          <w:i/>
          <w:iCs/>
        </w:rPr>
        <w:t xml:space="preserve">containment</w:t>
      </w:r>
      <w:r>
        <w:t xml:space="preserve">. That assertion, applied</w:t>
      </w:r>
      <w:r>
        <w:t xml:space="preserve"> </w:t>
      </w:r>
      <w:r>
        <w:t xml:space="preserve">to the symlink case, immediately exposed the traversal case.</w:t>
      </w:r>
      <w:r>
        <w:t xml:space="preserve"> </w:t>
      </w:r>
      <w:r>
        <w:rPr>
          <w:b/>
          <w:bCs/>
        </w:rPr>
        <w:t xml:space="preserve">Fixed by:</w:t>
      </w:r>
      <w:r>
        <w:t xml:space="preserve"> </w:t>
      </w:r>
      <w:r>
        <w:t xml:space="preserve">building the symlink where the request points, and using enough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to clamp at the</w:t>
      </w:r>
      <w:r>
        <w:t xml:space="preserve"> </w:t>
      </w:r>
      <w:r>
        <w:t xml:space="preserve">root.</w:t>
      </w:r>
      <w:r>
        <w:t xml:space="preserve"> </w:t>
      </w:r>
      <w:r>
        <w:rPr>
          <w:b/>
          <w:bCs/>
        </w:rPr>
        <w:t xml:space="preserve">What it taught:</w:t>
      </w:r>
      <w:r>
        <w:t xml:space="preserve"> </w:t>
      </w:r>
      <w:r>
        <w:t xml:space="preserve">the number of assertions is not the strength of a test. An assertion on the wrong</w:t>
      </w:r>
      <w:r>
        <w:t xml:space="preserve"> </w:t>
      </w:r>
      <w:r>
        <w:t xml:space="preserve">property is worse than no assertion, because it reports success.</w:t>
      </w:r>
    </w:p>
    <w:bookmarkEnd w:id="36"/>
    <w:bookmarkStart w:id="37" w:name="the-pattern"/>
    <w:p>
      <w:pPr>
        <w:pStyle w:val="Heading3"/>
      </w:pPr>
      <w:r>
        <w:t xml:space="preserve">7.5 The pattern</w:t>
      </w:r>
    </w:p>
    <w:p>
      <w:pPr>
        <w:pStyle w:val="FirstParagraph"/>
      </w:pPr>
      <w:r>
        <w:t xml:space="preserve">Three of the four defects were invisible to the test suite at the moment they existed. Two were found</w:t>
      </w:r>
      <w:r>
        <w:t xml:space="preserve"> </w:t>
      </w:r>
      <w:r>
        <w:t xml:space="preserve">by reading code, one by running it. The suite found exactly one.</w:t>
      </w:r>
    </w:p>
    <w:p>
      <w:pPr>
        <w:pStyle w:val="BodyText"/>
      </w:pPr>
      <w:r>
        <w:t xml:space="preserve">This is not an argument against tests. It is an argument about what tests are for: they confirm that</w:t>
      </w:r>
      <w:r>
        <w:t xml:space="preserve"> </w:t>
      </w:r>
      <w:r>
        <w:t xml:space="preserve">behaviour you already believe is correct stays correct. They do not discover which behaviour is</w:t>
      </w:r>
      <w:r>
        <w:t xml:space="preserve"> </w:t>
      </w:r>
      <w:r>
        <w:t xml:space="preserve">missing, because a missing check produces no failure. The secondary research question is therefore</w:t>
      </w:r>
      <w:r>
        <w:t xml:space="preserve"> </w:t>
      </w:r>
      <w:r>
        <w:t xml:space="preserve">answered:</w:t>
      </w:r>
      <w:r>
        <w:t xml:space="preserve"> </w:t>
      </w:r>
      <w:r>
        <w:rPr>
          <w:b/>
          <w:bCs/>
        </w:rPr>
        <w:t xml:space="preserve">automated testing finds defects in implemented behaviour; reading and running find</w:t>
      </w:r>
      <w:r>
        <w:rPr>
          <w:b/>
          <w:bCs/>
        </w:rPr>
        <w:t xml:space="preserve"> </w:t>
      </w:r>
      <w:r>
        <w:rPr>
          <w:b/>
          <w:bCs/>
        </w:rPr>
        <w:t xml:space="preserve">defects in absent behaviour.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discussion"/>
    <w:p>
      <w:pPr>
        <w:pStyle w:val="Heading2"/>
      </w:pPr>
      <w:r>
        <w:t xml:space="preserve">8. Discussion</w:t>
      </w:r>
    </w:p>
    <w:bookmarkStart w:id="39" w:name="X6d807eb7c5bc2533a20fae43728d35181f94cc0"/>
    <w:p>
      <w:pPr>
        <w:pStyle w:val="Heading3"/>
      </w:pPr>
      <w:r>
        <w:t xml:space="preserve">8.1 The converter is a utility, not a contribution</w:t>
      </w:r>
    </w:p>
    <w:p>
      <w:pPr>
        <w:pStyle w:val="FirstParagraph"/>
      </w:pPr>
      <w:r>
        <w:t xml:space="preserve">Pip’s document tool converts PDF, DOCX, PPTX and XLSX to Markdown. That is Microsoft’s MarkItDown</w:t>
      </w:r>
      <w:r>
        <w:t xml:space="preserve"> </w:t>
      </w:r>
      <w:r>
        <w:t xml:space="preserve">doing the work; our part is a wrapper that spawns it, validates the path, caps the output and fences</w:t>
      </w:r>
      <w:r>
        <w:t xml:space="preserve"> </w:t>
      </w:r>
      <w:r>
        <w:t xml:space="preserve">the result as untrusted data. Roughly two hundred lines. It is in the product because a student</w:t>
      </w:r>
      <w:r>
        <w:t xml:space="preserve"> </w:t>
      </w:r>
      <w:r>
        <w:t xml:space="preserve">should not need a separate application to read a PDF, not because conversion is a novel problem.</w:t>
      </w:r>
    </w:p>
    <w:p>
      <w:pPr>
        <w:pStyle w:val="BodyText"/>
      </w:pPr>
      <w:r>
        <w:t xml:space="preserve">Saying so costs nothing and protects the argument. If the converter were presented as the</w:t>
      </w:r>
      <w:r>
        <w:t xml:space="preserve"> </w:t>
      </w:r>
      <w:r>
        <w:t xml:space="preserve">contribution, the first fair question —</w:t>
      </w:r>
      <w:r>
        <w:t xml:space="preserve"> </w:t>
      </w:r>
      <w:r>
        <w:rPr>
          <w:i/>
          <w:iCs/>
        </w:rPr>
        <w:t xml:space="preserve">why not just use MarkItDown?</w:t>
      </w:r>
      <w:r>
        <w:t xml:space="preserve"> </w:t>
      </w:r>
      <w:r>
        <w:t xml:space="preserve">— would have no good answer.</w:t>
      </w:r>
      <w:r>
        <w:t xml:space="preserve"> </w:t>
      </w:r>
      <w:r>
        <w:t xml:space="preserve">It is one of seven tools, and the other six are where the boundary does its work.</w:t>
      </w:r>
    </w:p>
    <w:p>
      <w:pPr>
        <w:pStyle w:val="BodyText"/>
      </w:pPr>
      <w:r>
        <w:t xml:space="preserve">The measurement exists because the tool is measurable in isolation, and it produced a useful negative</w:t>
      </w:r>
      <w:r>
        <w:t xml:space="preserve"> </w:t>
      </w:r>
      <w:r>
        <w:t xml:space="preserve">result. Converting a document does not merely fail to reduce its token count — it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it, by</w:t>
      </w:r>
      <w:r>
        <w:t xml:space="preserve"> </w:t>
      </w:r>
      <w:r>
        <w:t xml:space="preserve">12% on the six-page PDF and 4.5% on the DOCX. Structure costs characters, and characters are tokens.</w:t>
      </w:r>
    </w:p>
    <w:p>
      <w:pPr>
        <w:pStyle w:val="BodyText"/>
      </w:pPr>
      <w:r>
        <w:t xml:space="preserve">What reduces cost is sending less. Two pages instead of six costs 686 tokens against 1,844 for</w:t>
      </w:r>
      <w:r>
        <w:t xml:space="preserve"> </w:t>
      </w:r>
      <w:r>
        <w:t xml:space="preserve">pasting the whole document, a 63% reduction. And page-level reading is only possible because the file</w:t>
      </w:r>
      <w:r>
        <w:t xml:space="preserve"> </w:t>
      </w:r>
      <w:r>
        <w:t xml:space="preserve">stayed on the machine: a model that receives a path can ask for a range; a model that receives an</w:t>
      </w:r>
      <w:r>
        <w:t xml:space="preserve"> </w:t>
      </w:r>
      <w:r>
        <w:t xml:space="preserve">upload has already been given everything. The saving therefore belongs to the architecture, not to</w:t>
      </w:r>
      <w:r>
        <w:t xml:space="preserve"> </w:t>
      </w:r>
      <w:r>
        <w:t xml:space="preserve">the converter — which is why section 6.4 reports it as a control condition rather than a feature.</w:t>
      </w:r>
    </w:p>
    <w:bookmarkEnd w:id="39"/>
    <w:bookmarkStart w:id="40" w:name="the-boundary-is-load-bearing"/>
    <w:p>
      <w:pPr>
        <w:pStyle w:val="Heading3"/>
      </w:pPr>
      <w:r>
        <w:t xml:space="preserve">8.2 The boundary is load-bearing</w:t>
      </w:r>
    </w:p>
    <w:p>
      <w:pPr>
        <w:pStyle w:val="FirstParagraph"/>
      </w:pPr>
      <w:r>
        <w:t xml:space="preserve">It would be possible to read this project as a security layer bolted onto a document tool. The</w:t>
      </w:r>
      <w:r>
        <w:t xml:space="preserve"> </w:t>
      </w:r>
      <w:r>
        <w:t xml:space="preserve">opposite is closer to the truth. Scoped reading is what makes the system affordable, and scoped</w:t>
      </w:r>
      <w:r>
        <w:t xml:space="preserve"> </w:t>
      </w:r>
      <w:r>
        <w:t xml:space="preserve">reading is only safe if there is a boundary to scope against. The permission layer is not</w:t>
      </w:r>
      <w:r>
        <w:t xml:space="preserve"> </w:t>
      </w:r>
      <w:r>
        <w:t xml:space="preserve">decoration; it is the precondition for the efficiency result.</w:t>
      </w:r>
    </w:p>
    <w:bookmarkEnd w:id="40"/>
    <w:bookmarkStart w:id="41" w:name="what-the-hands-can-and-cannot-do"/>
    <w:p>
      <w:pPr>
        <w:pStyle w:val="Heading3"/>
      </w:pPr>
      <w:r>
        <w:t xml:space="preserve">8.3 What the hands can and cannot do</w:t>
      </w:r>
    </w:p>
    <w:p>
      <w:pPr>
        <w:pStyle w:val="FirstParagraph"/>
      </w:pPr>
      <w:r>
        <w:t xml:space="preserve">The model can list a granted folder, read documents in it, search text notes, write notes, and</w:t>
      </w:r>
      <w:r>
        <w:t xml:space="preserve"> </w:t>
      </w:r>
      <w:r>
        <w:t xml:space="preserve">generate two kinds of rendered page. It cannot delete, rename, execute a command, read outside the</w:t>
      </w:r>
      <w:r>
        <w:t xml:space="preserve"> </w:t>
      </w:r>
      <w:r>
        <w:t xml:space="preserve">allowlist, fetch a URL, or write anywhere except one folder. This is deliberately small. A larger</w:t>
      </w:r>
      <w:r>
        <w:t xml:space="preserve"> </w:t>
      </w:r>
      <w:r>
        <w:t xml:space="preserve">write surface would make a better demonstration and a worse system, and the project’s claim is</w:t>
      </w:r>
      <w:r>
        <w:t xml:space="preserve"> </w:t>
      </w:r>
      <w:r>
        <w:t xml:space="preserve">specifically that a small boundary is more useful to a student than a large capability.</w:t>
      </w:r>
    </w:p>
    <w:p>
      <w:pPr>
        <w:pStyle w:val="BodyText"/>
      </w:pPr>
      <w:r>
        <w:t xml:space="preserve">The same reasoning applies inside the window. The document preview renders Markdown rather than</w:t>
      </w:r>
      <w:r>
        <w:t xml:space="preserve"> </w:t>
      </w:r>
      <w:r>
        <w:t xml:space="preserve">showing a text box, and that rendering is sanitised. It has to be: the main window can call Tauri</w:t>
      </w:r>
      <w:r>
        <w:t xml:space="preserve"> </w:t>
      </w:r>
      <w:r>
        <w:t xml:space="preserve">commands, so a script arriving inside a converted document would be code execution against the</w:t>
      </w:r>
      <w:r>
        <w:t xml:space="preserve"> </w:t>
      </w:r>
      <w:r>
        <w:t xml:space="preserve">application, not merely a dirty page. Images are stripped from the preview for a related reason — a</w:t>
      </w:r>
      <w:r>
        <w:t xml:space="preserve"> </w:t>
      </w:r>
      <w:r>
        <w:t xml:space="preserve">document could otherwise make the window fetch a remote URL and tell whoever wrote it that the file</w:t>
      </w:r>
      <w:r>
        <w:t xml:space="preserve"> </w:t>
      </w:r>
      <w:r>
        <w:t xml:space="preserve">had been opened. A permission boundary that stops at the tool layer and ignores the renderer is not a</w:t>
      </w:r>
      <w:r>
        <w:t xml:space="preserve"> </w:t>
      </w:r>
      <w:r>
        <w:t xml:space="preserve">boundary.</w:t>
      </w:r>
    </w:p>
    <w:bookmarkEnd w:id="41"/>
    <w:bookmarkStart w:id="42" w:name="delivery-was-removed-on-purpose"/>
    <w:p>
      <w:pPr>
        <w:pStyle w:val="Heading3"/>
      </w:pPr>
      <w:r>
        <w:t xml:space="preserve">8.4 Delivery was removed on purpose</w:t>
      </w:r>
    </w:p>
    <w:p>
      <w:pPr>
        <w:pStyle w:val="FirstParagraph"/>
      </w:pPr>
      <w:r>
        <w:t xml:space="preserve">The application prepares a prompt; it does not send it. An earlier build wrote the prompt directly</w:t>
      </w:r>
      <w:r>
        <w:t xml:space="preserve"> </w:t>
      </w:r>
      <w:r>
        <w:t xml:space="preserve">into the chat input using a page script. That script was tested against a DOM stub and never against</w:t>
      </w:r>
      <w:r>
        <w:t xml:space="preserve"> </w:t>
      </w:r>
      <w:r>
        <w:t xml:space="preserve">a live page, on a third-party site whose markup changes without notice. It was removed rather than</w:t>
      </w:r>
      <w:r>
        <w:t xml:space="preserve"> </w:t>
      </w:r>
      <w:r>
        <w:t xml:space="preserve">risked.</w:t>
      </w:r>
    </w:p>
    <w:p>
      <w:pPr>
        <w:pStyle w:val="BodyText"/>
      </w:pPr>
      <w:r>
        <w:t xml:space="preserve">The cost is real: the user presses paste. The benefit is that the demonstrated workflow has no</w:t>
      </w:r>
      <w:r>
        <w:t xml:space="preserve"> </w:t>
      </w:r>
      <w:r>
        <w:t xml:space="preserve">dependency on a vendor’s internal structure. This is a scope decision, not an oversight, and it is</w:t>
      </w:r>
      <w:r>
        <w:t xml:space="preserve"> </w:t>
      </w:r>
      <w:r>
        <w:t xml:space="preserve">recorded in section 9 rather than presented as a feature.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limitations"/>
    <w:p>
      <w:pPr>
        <w:pStyle w:val="Heading2"/>
      </w:pPr>
      <w:r>
        <w:t xml:space="preserve">9.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user study</w:t>
            </w:r>
          </w:p>
        </w:tc>
        <w:tc>
          <w:tcPr/>
          <w:p>
            <w:pPr>
              <w:pStyle w:val="Compact"/>
            </w:pPr>
            <w:r>
              <w:t xml:space="preserve">The claim that students benefit is reasoned, not measured. The survey instrument exists and was not administered. No usability claim is made anywhere in this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document measured</w:t>
            </w:r>
          </w:p>
        </w:tc>
        <w:tc>
          <w:tcPr/>
          <w:p>
            <w:pPr>
              <w:pStyle w:val="Compact"/>
            </w:pPr>
            <w:r>
              <w:t xml:space="preserve">The efficiency result rests on a single six-page PDF and one DOCX. A ten-document corpus was designed and not completed. Percentages are therefore reported per document, never averaged.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 7 unobserved</w:t>
            </w:r>
          </w:p>
        </w:tc>
        <w:tc>
          <w:tcPr/>
          <w:p>
            <w:pPr>
              <w:pStyle w:val="Compact"/>
            </w:pPr>
            <w:r>
              <w:t xml:space="preserve">The approval round trip is tested on both halves and has not been watched end to 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TOCTOU open</w:t>
            </w:r>
          </w:p>
        </w:tc>
        <w:tc>
          <w:tcPr/>
          <w:p>
            <w:pPr>
              <w:pStyle w:val="Compact"/>
            </w:pPr>
            <w:r>
              <w:t xml:space="preserve">A folder can be swapped between validation and conversion.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 only</w:t>
            </w:r>
          </w:p>
        </w:tc>
        <w:tc>
          <w:tcPr/>
          <w:p>
            <w:pPr>
              <w:pStyle w:val="Compact"/>
            </w:pPr>
            <w:r>
              <w:t xml:space="preserve">Windows path handling is untested and no claim is made about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packaged</w:t>
            </w:r>
          </w:p>
        </w:tc>
        <w:tc>
          <w:tcPr/>
          <w:p>
            <w:pPr>
              <w:pStyle w:val="Compact"/>
            </w:pPr>
            <w:r>
              <w:t xml:space="preserve">The application runs from a checkout. Packaging requires bundling the Python helper, bundling the tool server, bundling the tunnel, and code signing — four phases, the last of which requires a paid developer certificate.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 needs the internet</w:t>
            </w:r>
          </w:p>
        </w:tc>
        <w:tc>
          <w:tcPr/>
          <w:p>
            <w:pPr>
              <w:pStyle w:val="Compact"/>
            </w:pPr>
            <w:r>
              <w:t xml:space="preserve">The chat client is cloud-hosted. The local tools are local; the model is not.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A student on a free tier can have agent-like access to their own files without paying for it, under a</w:t>
      </w:r>
      <w:r>
        <w:t xml:space="preserve"> </w:t>
      </w:r>
      <w:r>
        <w:t xml:space="preserve">boundary they set, can revoke, and can read back afterwards.</w:t>
      </w:r>
    </w:p>
    <w:p>
      <w:pPr>
        <w:pStyle w:val="BodyText"/>
      </w:pPr>
      <w:r>
        <w:t xml:space="preserve">That is the claim the evidence supports. H1 was confirmed on a live free account through a public</w:t>
      </w:r>
      <w:r>
        <w:t xml:space="preserve"> </w:t>
      </w:r>
      <w:r>
        <w:t xml:space="preserve">tunnel. H2 was confirmed for eight of nine attack classes, with one race condition documented as open.</w:t>
      </w:r>
      <w:r>
        <w:t xml:space="preserve"> </w:t>
      </w:r>
      <w:r>
        <w:t xml:space="preserve">H3 was rejected, and its replacement — that scoped reading is the lever — was confirmed on the</w:t>
      </w:r>
      <w:r>
        <w:t xml:space="preserve"> </w:t>
      </w:r>
      <w:r>
        <w:t xml:space="preserve">documents measured.</w:t>
      </w:r>
    </w:p>
    <w:p>
      <w:pPr>
        <w:pStyle w:val="BodyText"/>
      </w:pPr>
      <w:r>
        <w:t xml:space="preserve">Three things this project did not do, and says so: it did not measure a user, it did not measure a</w:t>
      </w:r>
      <w:r>
        <w:t xml:space="preserve"> </w:t>
      </w:r>
      <w:r>
        <w:t xml:space="preserve">corpus, and it did not deliver the prompt into the chat. Each of those is a limitation of a seven-day</w:t>
      </w:r>
      <w:r>
        <w:t xml:space="preserve"> </w:t>
      </w:r>
      <w:r>
        <w:t xml:space="preserve">build rather than a defect of the design, and each is listed in section 9 with its consequence</w:t>
      </w:r>
      <w:r>
        <w:t xml:space="preserve"> </w:t>
      </w:r>
      <w:r>
        <w:t xml:space="preserve">attached.</w:t>
      </w:r>
    </w:p>
    <w:p>
      <w:pPr>
        <w:pStyle w:val="BodyText"/>
      </w:pPr>
      <w:r>
        <w:t xml:space="preserve">The finding worth carrying forward is methodological. Of four defects found, three were invisible to</w:t>
      </w:r>
      <w:r>
        <w:t xml:space="preserve"> </w:t>
      </w:r>
      <w:r>
        <w:t xml:space="preserve">a green test suite; two were found by reading code and one by running the application. For a project</w:t>
      </w:r>
      <w:r>
        <w:t xml:space="preserve"> </w:t>
      </w:r>
      <w:r>
        <w:t xml:space="preserve">about permission boundaries, that is the most transferable lesson: the tests confirm what you</w:t>
      </w:r>
      <w:r>
        <w:t xml:space="preserve"> </w:t>
      </w:r>
      <w:r>
        <w:t xml:space="preserve">remembered to check, and the boundary you forgot to check is the one that matters.</w:t>
      </w:r>
    </w:p>
    <w:p>
      <w:r>
        <w:pict>
          <v:rect style="width:0;height:1.5pt" o:hralign="center" o:hrstd="t" o:hr="t"/>
        </w:pict>
      </w:r>
    </w:p>
    <w:bookmarkEnd w:id="45"/>
    <w:bookmarkStart w:id="46" w:name="future-work"/>
    <w:p>
      <w:pPr>
        <w:pStyle w:val="Heading2"/>
      </w:pPr>
      <w:r>
        <w:t xml:space="preserve">11. Future 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Package the application.</w:t>
      </w:r>
      <w:r>
        <w:t xml:space="preserve"> </w:t>
      </w:r>
      <w:r>
        <w:t xml:space="preserve">Bundle the Python helper and the tool server, add a first-run panel</w:t>
      </w:r>
      <w:r>
        <w:t xml:space="preserve"> </w:t>
      </w:r>
      <w:r>
        <w:t xml:space="preserve">for the tunnel token, sign and notarise. Four phases; the last needs an Apple Developer account.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Administer the survey.</w:t>
      </w:r>
      <w:r>
        <w:t xml:space="preserve"> </w:t>
      </w:r>
      <w:r>
        <w:t xml:space="preserve">Ten to twenty students, a timed task, before and after. This is the</w:t>
      </w:r>
      <w:r>
        <w:t xml:space="preserve"> </w:t>
      </w:r>
      <w:r>
        <w:t xml:space="preserve">single largest gap between the current evidence and a complete evaluation.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Complete the corpus.</w:t>
      </w:r>
      <w:r>
        <w:t xml:space="preserve"> </w:t>
      </w:r>
      <w:r>
        <w:t xml:space="preserve">Ten documents across PDF, DOCX, PPTX, XLSX and scanned PDF, with</w:t>
      </w:r>
      <w:r>
        <w:t xml:space="preserve"> </w:t>
      </w:r>
      <w:r>
        <w:t xml:space="preserve">conversion time recorded alongside token counts.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Close the TOCTOU window</w:t>
      </w:r>
      <w:r>
        <w:t xml:space="preserve"> </w:t>
      </w:r>
      <w:r>
        <w:t xml:space="preserve">by converting inside a sandbox rather than validating a path and</w:t>
      </w:r>
      <w:r>
        <w:t xml:space="preserve"> </w:t>
      </w:r>
      <w:r>
        <w:t xml:space="preserve">trusting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Scanned PDFs.</w:t>
      </w:r>
      <w:r>
        <w:t xml:space="preserve"> </w:t>
      </w:r>
      <w:r>
        <w:t xml:space="preserve">Currently return zero pages; requires OCR.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Windows support</w:t>
      </w:r>
      <w:r>
        <w:t xml:space="preserve">, and a per-tool rate limit.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Restore delivery</w:t>
      </w:r>
      <w:r>
        <w:t xml:space="preserve">, if a stable, documented integration point becomes available — as an option,</w:t>
      </w:r>
      <w:r>
        <w:t xml:space="preserve"> </w:t>
      </w:r>
      <w:r>
        <w:t xml:space="preserve">not a dependency.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s"/>
    <w:p>
      <w:pPr>
        <w:pStyle w:val="Heading2"/>
      </w:pPr>
      <w:r>
        <w:t xml:space="preserve">12. References</w:t>
      </w:r>
    </w:p>
    <w:p>
      <w:pPr>
        <w:pStyle w:val="Compact"/>
        <w:numPr>
          <w:ilvl w:val="0"/>
          <w:numId w:val="1006"/>
        </w:numPr>
      </w:pPr>
      <w:r>
        <w:t xml:space="preserve">Anthropic.</w:t>
      </w:r>
      <w:r>
        <w:t xml:space="preserve"> </w:t>
      </w:r>
      <w:r>
        <w:rPr>
          <w:i/>
          <w:iCs/>
        </w:rPr>
        <w:t xml:space="preserve">Model Context Protocol specification.</w:t>
      </w:r>
      <w:r>
        <w:t xml:space="preserve"> </w:t>
      </w:r>
      <w:r>
        <w:t xml:space="preserve">modelcontextprotocol.io</w:t>
      </w:r>
    </w:p>
    <w:p>
      <w:pPr>
        <w:pStyle w:val="Compact"/>
        <w:numPr>
          <w:ilvl w:val="0"/>
          <w:numId w:val="1006"/>
        </w:numPr>
      </w:pPr>
      <w:r>
        <w:t xml:space="preserve">Microsoft.</w:t>
      </w:r>
      <w:r>
        <w:t xml:space="preserve"> </w:t>
      </w:r>
      <w:r>
        <w:rPr>
          <w:i/>
          <w:iCs/>
        </w:rPr>
        <w:t xml:space="preserve">MarkItDown: convert documents to Markdown.</w:t>
      </w:r>
      <w:r>
        <w:t xml:space="preserve"> </w:t>
      </w:r>
      <w:r>
        <w:t xml:space="preserve">github.com/microsoft/markitdown</w:t>
      </w:r>
    </w:p>
    <w:p>
      <w:pPr>
        <w:pStyle w:val="Compact"/>
        <w:numPr>
          <w:ilvl w:val="0"/>
          <w:numId w:val="1006"/>
        </w:numPr>
      </w:pPr>
      <w:r>
        <w:t xml:space="preserve">Tauri Contributors.</w:t>
      </w:r>
      <w:r>
        <w:t xml:space="preserve"> </w:t>
      </w:r>
      <w:r>
        <w:rPr>
          <w:i/>
          <w:iCs/>
        </w:rPr>
        <w:t xml:space="preserve">Tauri 2 documentation.</w:t>
      </w:r>
      <w:r>
        <w:t xml:space="preserve"> </w:t>
      </w:r>
      <w:r>
        <w:t xml:space="preserve">tauri.app</w:t>
      </w:r>
    </w:p>
    <w:p>
      <w:pPr>
        <w:pStyle w:val="Compact"/>
        <w:numPr>
          <w:ilvl w:val="0"/>
          <w:numId w:val="1006"/>
        </w:numPr>
      </w:pPr>
      <w:r>
        <w:t xml:space="preserve">Model Context Protocol.</w:t>
      </w:r>
      <w:r>
        <w:t xml:space="preserve"> </w:t>
      </w:r>
      <w:r>
        <w:rPr>
          <w:i/>
          <w:iCs/>
        </w:rPr>
        <w:t xml:space="preserve">Authorization specification.</w:t>
      </w:r>
      <w:r>
        <w:t xml:space="preserve"> </w:t>
      </w:r>
      <w:r>
        <w:t xml:space="preserve">modelcontextprotocol.io</w:t>
      </w:r>
    </w:p>
    <w:p>
      <w:pPr>
        <w:pStyle w:val="Compact"/>
        <w:numPr>
          <w:ilvl w:val="0"/>
          <w:numId w:val="1006"/>
        </w:numPr>
      </w:pPr>
      <w:r>
        <w:t xml:space="preserve">OWASP Foundation.</w:t>
      </w:r>
      <w:r>
        <w:t xml:space="preserve"> </w:t>
      </w:r>
      <w:r>
        <w:rPr>
          <w:i/>
          <w:iCs/>
        </w:rPr>
        <w:t xml:space="preserve">Path Traversal.</w:t>
      </w:r>
      <w:r>
        <w:t xml:space="preserve"> </w:t>
      </w:r>
      <w:r>
        <w:t xml:space="preserve">owasp.org</w:t>
      </w:r>
    </w:p>
    <w:p>
      <w:r>
        <w:pict>
          <v:rect style="width:0;height:1.5pt" o:hralign="center" o:hrstd="t" o:hr="t"/>
        </w:pict>
      </w:r>
    </w:p>
    <w:bookmarkEnd w:id="47"/>
    <w:bookmarkStart w:id="48" w:name="appendix-a-tool-inventory"/>
    <w:p>
      <w:pPr>
        <w:pStyle w:val="Heading2"/>
      </w:pPr>
      <w:r>
        <w:t xml:space="preserve">Appendix A — Tool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Reads/writes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list_files</w:t>
            </w:r>
          </w:p>
        </w:tc>
        <w:tc>
          <w:tcPr/>
          <w:p>
            <w:pPr>
              <w:pStyle w:val="Compact"/>
            </w:pPr>
            <w:r>
              <w:t xml:space="preserve">reads a folder listing</w:t>
            </w:r>
          </w:p>
        </w:tc>
        <w:tc>
          <w:tcPr/>
          <w:p>
            <w:pPr>
              <w:pStyle w:val="Compact"/>
            </w:pPr>
            <w:r>
              <w:t xml:space="preserve">allowlist; no argument lists the granted folders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read_document_as_markdown</w:t>
            </w:r>
          </w:p>
        </w:tc>
        <w:tc>
          <w:tcPr/>
          <w:p>
            <w:pPr>
              <w:pStyle w:val="Compact"/>
            </w:pPr>
            <w:r>
              <w:t xml:space="preserve">reads a document</w:t>
            </w:r>
          </w:p>
        </w:tc>
        <w:tc>
          <w:tcPr/>
          <w:p>
            <w:pPr>
              <w:pStyle w:val="Compact"/>
            </w:pPr>
            <w:r>
              <w:t xml:space="preserve">allowlist, 24,000-character cap, 180-second timeout, fenced as untrusted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search_notes</w:t>
            </w:r>
          </w:p>
        </w:tc>
        <w:tc>
          <w:tcPr/>
          <w:p>
            <w:pPr>
              <w:pStyle w:val="Compact"/>
            </w:pPr>
            <w:r>
              <w:t xml:space="preserve">reads text notes</w:t>
            </w:r>
          </w:p>
        </w:tc>
        <w:tc>
          <w:tcPr/>
          <w:p>
            <w:pPr>
              <w:pStyle w:val="Compact"/>
            </w:pPr>
            <w:r>
              <w:t xml:space="preserve">allowlist, depth 4, 60 matches, fenced, capped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create_note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approval required, notes folder only, filename sanitised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save_digest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</w:p>
        </w:tc>
        <w:tc>
          <w:tcPr/>
          <w:p>
            <w:pPr>
              <w:pStyle w:val="Compact"/>
            </w:pPr>
            <w:r>
              <w:t xml:space="preserve">approval required, structure-only input, max 8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save_quiz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</w:p>
        </w:tc>
        <w:tc>
          <w:tcPr/>
          <w:p>
            <w:pPr>
              <w:pStyle w:val="Compact"/>
            </w:pPr>
            <w:r>
              <w:t xml:space="preserve">approval required, structure-only input, max 20 questions, answer index 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reveal_secret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retained from the connectivity spike; used to prove the tunnel</w:t>
            </w:r>
          </w:p>
        </w:tc>
      </w:tr>
    </w:tbl>
    <w:p>
      <w:pPr>
        <w:pStyle w:val="BodyText"/>
      </w:pPr>
      <w:r>
        <w:t xml:space="preserve">All writes are confined to a single folder. Every call, allowed or refused, appends one line to an</w:t>
      </w:r>
      <w:r>
        <w:t xml:space="preserve"> </w:t>
      </w:r>
      <w:r>
        <w:t xml:space="preserve">audit log the user can read in the application.</w:t>
      </w:r>
    </w:p>
    <w:bookmarkEnd w:id="48"/>
    <w:bookmarkStart w:id="49" w:name="appendix-b-test-inventory"/>
    <w:p>
      <w:pPr>
        <w:pStyle w:val="Heading2"/>
      </w:pPr>
      <w:r>
        <w:t xml:space="preserve">Appendix B — Test inventory</w:t>
      </w:r>
    </w:p>
    <w:p>
      <w:pPr>
        <w:pStyle w:val="FirstParagraph"/>
      </w:pPr>
      <w:r>
        <w:rPr>
          <w:rStyle w:val="VerbatimChar"/>
        </w:rPr>
        <w:t xml:space="preserve">./test.sh</w:t>
      </w:r>
      <w:r>
        <w:t xml:space="preserve"> </w:t>
      </w:r>
      <w:r>
        <w:t xml:space="preserve">runs, in order: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Rust command layer</w:t>
      </w:r>
      <w:r>
        <w:t xml:space="preserve"> </w:t>
      </w:r>
      <w:r>
        <w:t xml:space="preserve">— 15 tests covering path handling, allowlist round-trip, converter</w:t>
      </w:r>
      <w:r>
        <w:t xml:space="preserve"> </w:t>
      </w:r>
      <w:r>
        <w:t xml:space="preserve">resolution and settings persistence.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— TypeScript type check and a production build.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Tool layer</w:t>
      </w:r>
      <w:r>
        <w:t xml:space="preserve"> </w:t>
      </w:r>
      <w:r>
        <w:t xml:space="preserve">— twelve groups of assertions against a live server on a private port with its own</w:t>
      </w:r>
      <w:r>
        <w:t xml:space="preserve"> </w:t>
      </w:r>
      <w:r>
        <w:t xml:space="preserve">state directory: tool registration, allowlist acceptance and refusal, traversal and symlink</w:t>
      </w:r>
      <w:r>
        <w:t xml:space="preserve"> </w:t>
      </w:r>
      <w:r>
        <w:t xml:space="preserve">containment, document conversion and page markers, notes search and fencing, the approval round</w:t>
      </w:r>
      <w:r>
        <w:t xml:space="preserve"> </w:t>
      </w:r>
      <w:r>
        <w:t xml:space="preserve">trip in both directions, the audit log, authentication, folder discovery, and artifact rendering</w:t>
      </w:r>
      <w:r>
        <w:t xml:space="preserve"> </w:t>
      </w:r>
      <w:r>
        <w:t xml:space="preserve">including HTML escaping.</w:t>
      </w:r>
    </w:p>
    <w:p>
      <w:pPr>
        <w:pStyle w:val="FirstParagraph"/>
      </w:pPr>
      <w:r>
        <w:t xml:space="preserve">The suite exits non-zero on any failure. It is deliberately not the whole of the evaluation: section</w:t>
      </w:r>
      <w:r>
        <w:t xml:space="preserve"> </w:t>
      </w:r>
      <w:r>
        <w:t xml:space="preserve">7 explains what it cannot see.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2026-10-27T08:48:48Z</dcterms:created>
  <dcterms:modified xsi:type="dcterms:W3CDTF">2026-10-27T08:48:48Z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