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BAC4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1511E5">
      <w:pPr>
        <w:pStyle w:val="2"/>
        <w:jc w:val="center"/>
      </w:pPr>
      <w:bookmarkStart w:id="0" w:name="钢材采购合同"/>
      <w:r>
        <w:rPr>
          <w:rFonts w:hint="eastAsia"/>
        </w:rPr>
        <w:t>钢材采购合同</w:t>
      </w:r>
    </w:p>
    <w:p w14:paraId="412C0A68">
      <w:pPr>
        <w:pStyle w:val="23"/>
        <w:jc w:val="right"/>
      </w:pPr>
      <w:r>
        <w:rPr>
          <w:rFonts w:hint="eastAsia"/>
          <w:b/>
          <w:bCs/>
        </w:rPr>
        <w:t>合同编号：CG-GC-2026-001</w:t>
      </w:r>
    </w:p>
    <w:p w14:paraId="5386646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E30680">
      <w:pPr>
        <w:pStyle w:val="23"/>
      </w:pPr>
      <w:r>
        <w:rPr>
          <w:rFonts w:hint="eastAsia"/>
          <w:b/>
          <w:bCs/>
        </w:rPr>
        <w:t>甲方（采购方）：</w:t>
      </w:r>
      <w:r>
        <w:t xml:space="preserve"> </w:t>
      </w:r>
      <w:r>
        <w:rPr>
          <w:rFonts w:hint="eastAsia"/>
        </w:rPr>
        <w:t>甘肃东盛建筑设计有限公司</w:t>
      </w:r>
    </w:p>
    <w:p w14:paraId="6BD087A4">
      <w:pPr>
        <w:pStyle w:val="3"/>
      </w:pPr>
      <w:r>
        <w:rPr>
          <w:rFonts w:hint="eastAsia"/>
          <w:b/>
          <w:bCs/>
        </w:rPr>
        <w:t>乙方（供应方）：</w:t>
      </w:r>
      <w:r>
        <w:t xml:space="preserve"> </w:t>
      </w:r>
      <w:r>
        <w:rPr>
          <w:rFonts w:hint="eastAsia"/>
        </w:rPr>
        <w:t>甘肃仲伦商贸有限公司</w:t>
      </w:r>
    </w:p>
    <w:p w14:paraId="1D715647">
      <w:pPr>
        <w:pStyle w:val="3"/>
      </w:pPr>
      <w:r>
        <w:rPr>
          <w:rFonts w:hint="eastAsia"/>
          <w:b/>
          <w:bCs/>
        </w:rPr>
        <w:t>签订地点：</w:t>
      </w:r>
      <w:r>
        <w:t xml:space="preserve"> </w:t>
      </w:r>
      <w:r>
        <w:rPr>
          <w:rFonts w:hint="eastAsia"/>
        </w:rPr>
        <w:t>甘肃省天水市秦州区</w:t>
      </w:r>
    </w:p>
    <w:p w14:paraId="5833B11C">
      <w:pPr>
        <w:pStyle w:val="3"/>
      </w:pPr>
      <w:r>
        <w:rPr>
          <w:rFonts w:hint="eastAsia"/>
          <w:b/>
          <w:bCs/>
        </w:rPr>
        <w:t>签订日期：</w:t>
      </w:r>
      <w:r>
        <w:t xml:space="preserve"> </w:t>
      </w:r>
      <w:r>
        <w:rPr>
          <w:rFonts w:hint="eastAsia"/>
        </w:rPr>
        <w:t>2026年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月</w:t>
      </w:r>
      <w:r>
        <w:t xml:space="preserve"> 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日</w:t>
      </w:r>
    </w:p>
    <w:p w14:paraId="777C43D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6899DB9">
      <w:pPr>
        <w:pStyle w:val="23"/>
        <w:ind w:firstLine="480" w:firstLineChars="200"/>
      </w:pPr>
      <w:r>
        <w:rPr>
          <w:rFonts w:hint="eastAsia"/>
        </w:rPr>
        <w:t>根据《中华人民共和国民法典》及相关法律法规，甲乙双方经平等协商，就甲方常记呱呱生产基地建设项目钢材供应事宜达成一致，订立本合同。</w:t>
      </w:r>
    </w:p>
    <w:p w14:paraId="45966E5B">
      <w:pPr>
        <w:pStyle w:val="4"/>
      </w:pPr>
      <w:bookmarkStart w:id="1" w:name="第一条-项目概况"/>
      <w:r>
        <w:rPr>
          <w:rFonts w:hint="eastAsia"/>
        </w:rPr>
        <w:t>第一条</w:t>
      </w:r>
      <w:r>
        <w:t xml:space="preserve"> </w:t>
      </w:r>
      <w:r>
        <w:rPr>
          <w:rFonts w:hint="eastAsia"/>
        </w:rPr>
        <w:t>项目概况</w:t>
      </w:r>
    </w:p>
    <w:p w14:paraId="672EC3A5">
      <w:pPr>
        <w:pStyle w:val="23"/>
      </w:pPr>
      <w:r>
        <w:t xml:space="preserve">1.1 </w:t>
      </w:r>
      <w:r>
        <w:rPr>
          <w:rFonts w:hint="eastAsia"/>
        </w:rPr>
        <w:t>工程名称：常记呱呱生产基地建设项目</w:t>
      </w:r>
    </w:p>
    <w:p w14:paraId="6096F7F1">
      <w:pPr>
        <w:pStyle w:val="3"/>
      </w:pPr>
      <w:r>
        <w:t xml:space="preserve">1.2 </w:t>
      </w:r>
      <w:r>
        <w:rPr>
          <w:rFonts w:hint="eastAsia"/>
        </w:rPr>
        <w:t>工程地点：天水市秦州区</w:t>
      </w:r>
    </w:p>
    <w:p w14:paraId="2B72D81B">
      <w:pPr>
        <w:pStyle w:val="3"/>
      </w:pPr>
      <w:r>
        <w:t xml:space="preserve">1.3 </w:t>
      </w:r>
      <w:r>
        <w:rPr>
          <w:rFonts w:hint="eastAsia"/>
        </w:rPr>
        <w:t>建筑面积：约3,951.78㎡</w:t>
      </w:r>
    </w:p>
    <w:bookmarkEnd w:id="1"/>
    <w:p w14:paraId="5B3A9699">
      <w:pPr>
        <w:pStyle w:val="4"/>
      </w:pPr>
      <w:bookmarkStart w:id="2" w:name="第二条-采购内容及订货方式"/>
      <w:r>
        <w:rPr>
          <w:rFonts w:hint="eastAsia"/>
        </w:rPr>
        <w:t>第二条</w:t>
      </w:r>
      <w:r>
        <w:t xml:space="preserve"> </w:t>
      </w:r>
      <w:r>
        <w:rPr>
          <w:rFonts w:hint="eastAsia"/>
        </w:rPr>
        <w:t>采购内容及订货方式</w:t>
      </w:r>
    </w:p>
    <w:p w14:paraId="6705968F">
      <w:pPr>
        <w:pStyle w:val="23"/>
      </w:pPr>
      <w:r>
        <w:t xml:space="preserve">2.1 </w:t>
      </w:r>
      <w:r>
        <w:rPr>
          <w:rFonts w:hint="eastAsia"/>
        </w:rPr>
        <w:t>采购范围：乙方供应甲方常记呱呱生产基地建设项目所需的各种规格建筑钢材。</w:t>
      </w:r>
    </w:p>
    <w:p w14:paraId="3EB0B39D">
      <w:pPr>
        <w:pStyle w:val="3"/>
      </w:pPr>
      <w:r>
        <w:t xml:space="preserve">2.2 </w:t>
      </w:r>
      <w:r>
        <w:rPr>
          <w:rFonts w:hint="eastAsia"/>
        </w:rPr>
        <w:t>订货方式：甲方根据施工进度向乙方提出采购需求单，注明所需钢材的规格、数量、要求到货时间。</w:t>
      </w:r>
    </w:p>
    <w:p w14:paraId="10115D27">
      <w:pPr>
        <w:pStyle w:val="3"/>
      </w:pPr>
      <w:r>
        <w:t xml:space="preserve">2.3 </w:t>
      </w:r>
      <w:r>
        <w:rPr>
          <w:rFonts w:hint="eastAsia"/>
        </w:rPr>
        <w:t>乙方根据甲方需求单报价，甲方审核确认价格后，乙方安排装车发货。未经甲方书面/微信确认价格的批次，甲方有权拒收或按双方认可的市场价结算。</w:t>
      </w:r>
    </w:p>
    <w:bookmarkEnd w:id="2"/>
    <w:p w14:paraId="443D9D7B">
      <w:pPr>
        <w:pStyle w:val="4"/>
      </w:pPr>
      <w:bookmarkStart w:id="3" w:name="第三条-价格及结算"/>
      <w:r>
        <w:rPr>
          <w:rFonts w:hint="eastAsia"/>
        </w:rPr>
        <w:t>第三条</w:t>
      </w:r>
      <w:r>
        <w:t xml:space="preserve"> </w:t>
      </w:r>
      <w:r>
        <w:rPr>
          <w:rFonts w:hint="eastAsia"/>
        </w:rPr>
        <w:t>价格及结算</w:t>
      </w:r>
    </w:p>
    <w:p w14:paraId="11DABCBB">
      <w:pPr>
        <w:pStyle w:val="23"/>
      </w:pPr>
      <w:r>
        <w:t xml:space="preserve">3.1 </w:t>
      </w:r>
      <w:r>
        <w:rPr>
          <w:rFonts w:hint="eastAsia"/>
        </w:rPr>
        <w:t>价格机制：随行就市。每批次价格以甲方确认需求单当日的当地市场行情为准，由乙方报价、甲方审核确认后执行。</w:t>
      </w:r>
    </w:p>
    <w:p w14:paraId="38DEABE2">
      <w:pPr>
        <w:pStyle w:val="3"/>
      </w:pPr>
      <w:r>
        <w:t xml:space="preserve">3.2 </w:t>
      </w:r>
      <w:r>
        <w:rPr>
          <w:rFonts w:hint="eastAsia"/>
        </w:rPr>
        <w:t>结算依据：乙方随货提供销售清单（送货单），载明品名、规格、数量、单价、金额，甲方签收人签字确认即视为对当批货物数量及价格无异议。</w:t>
      </w:r>
    </w:p>
    <w:bookmarkEnd w:id="3"/>
    <w:p w14:paraId="4A8C51E1">
      <w:pPr>
        <w:pStyle w:val="4"/>
      </w:pPr>
      <w:bookmarkStart w:id="4" w:name="第四条-交货方式及期限"/>
      <w:r>
        <w:rPr>
          <w:rFonts w:hint="eastAsia"/>
        </w:rPr>
        <w:t>第四条</w:t>
      </w:r>
      <w:r>
        <w:t xml:space="preserve"> </w:t>
      </w:r>
      <w:r>
        <w:rPr>
          <w:rFonts w:hint="eastAsia"/>
        </w:rPr>
        <w:t>交货方式及期限</w:t>
      </w:r>
    </w:p>
    <w:p w14:paraId="7F60A4AD">
      <w:pPr>
        <w:pStyle w:val="23"/>
      </w:pPr>
      <w:r>
        <w:t xml:space="preserve">4.1 </w:t>
      </w:r>
      <w:r>
        <w:rPr>
          <w:rFonts w:hint="eastAsia"/>
        </w:rPr>
        <w:t>交货方式：乙方负责将货物运至甲方指定施工现场并卸货至指定堆放位置。</w:t>
      </w:r>
    </w:p>
    <w:p w14:paraId="427CAB65">
      <w:pPr>
        <w:pStyle w:val="3"/>
      </w:pPr>
      <w:r>
        <w:t xml:space="preserve">4.2 </w:t>
      </w:r>
      <w:r>
        <w:rPr>
          <w:rFonts w:hint="eastAsia"/>
        </w:rPr>
        <w:t>交货期限：按经甲方确认价格的需求单约定的时间发货。</w:t>
      </w:r>
    </w:p>
    <w:p w14:paraId="272F32F3">
      <w:pPr>
        <w:pStyle w:val="3"/>
      </w:pPr>
      <w:r>
        <w:t xml:space="preserve">4.3 </w:t>
      </w:r>
      <w:r>
        <w:rPr>
          <w:rFonts w:hint="eastAsia"/>
        </w:rPr>
        <w:t>交货地点：天水市秦州区太京镇西</w:t>
      </w:r>
      <w:r>
        <w:rPr>
          <w:rFonts w:hint="eastAsia"/>
          <w:lang w:val="en-US" w:eastAsia="zh-CN"/>
        </w:rPr>
        <w:t>家</w:t>
      </w:r>
      <w:r>
        <w:rPr>
          <w:rFonts w:hint="eastAsia"/>
        </w:rPr>
        <w:t>庄（常记呱呱生产基地建设项目工地）。</w:t>
      </w:r>
    </w:p>
    <w:bookmarkEnd w:id="4"/>
    <w:p w14:paraId="49AA3B21">
      <w:pPr>
        <w:pStyle w:val="4"/>
      </w:pPr>
      <w:bookmarkStart w:id="5" w:name="第五条-随货资料"/>
      <w:r>
        <w:rPr>
          <w:rFonts w:hint="eastAsia"/>
        </w:rPr>
        <w:t>第五条</w:t>
      </w:r>
      <w:r>
        <w:t xml:space="preserve"> </w:t>
      </w:r>
      <w:r>
        <w:rPr>
          <w:rFonts w:hint="eastAsia"/>
        </w:rPr>
        <w:t>随货资料</w:t>
      </w:r>
    </w:p>
    <w:p w14:paraId="584218A1">
      <w:pPr>
        <w:pStyle w:val="23"/>
      </w:pPr>
      <w:r>
        <w:rPr>
          <w:rFonts w:hint="eastAsia"/>
        </w:rPr>
        <w:t>乙方须随货提供以下资料（缺一可拒收）：</w:t>
      </w:r>
    </w:p>
    <w:p w14:paraId="068F1C89">
      <w:pPr>
        <w:pStyle w:val="3"/>
      </w:pPr>
      <w:r>
        <w:rPr>
          <w:rFonts w:hint="eastAsia"/>
        </w:rPr>
        <w:t>（1）销售清单（送货单）</w:t>
      </w:r>
    </w:p>
    <w:p w14:paraId="1A6FB588">
      <w:pPr>
        <w:pStyle w:val="3"/>
      </w:pPr>
      <w:r>
        <w:rPr>
          <w:rFonts w:hint="eastAsia"/>
        </w:rPr>
        <w:t>（2）对应批号的出厂合格证</w:t>
      </w:r>
    </w:p>
    <w:p w14:paraId="0D3DFF80">
      <w:pPr>
        <w:pStyle w:val="3"/>
      </w:pPr>
      <w:r>
        <w:rPr>
          <w:rFonts w:hint="eastAsia"/>
        </w:rPr>
        <w:t>（3）质量检测报告</w:t>
      </w:r>
    </w:p>
    <w:p w14:paraId="150C14D0">
      <w:pPr>
        <w:pStyle w:val="3"/>
      </w:pPr>
      <w:r>
        <w:rPr>
          <w:rFonts w:hint="eastAsia"/>
        </w:rPr>
        <w:t>（4）增值税专用发票（税率13%）</w:t>
      </w:r>
    </w:p>
    <w:bookmarkEnd w:id="5"/>
    <w:p w14:paraId="10BA9C8F">
      <w:pPr>
        <w:pStyle w:val="4"/>
      </w:pPr>
      <w:bookmarkStart w:id="6" w:name="第六条-质量保证与质检配合"/>
      <w:r>
        <w:rPr>
          <w:rFonts w:hint="eastAsia"/>
        </w:rPr>
        <w:t>第六条</w:t>
      </w:r>
      <w:r>
        <w:t xml:space="preserve"> </w:t>
      </w:r>
      <w:r>
        <w:rPr>
          <w:rFonts w:hint="eastAsia"/>
        </w:rPr>
        <w:t>质量保证与质检配合</w:t>
      </w:r>
    </w:p>
    <w:p w14:paraId="520BB2DD">
      <w:pPr>
        <w:pStyle w:val="23"/>
      </w:pPr>
      <w:r>
        <w:t xml:space="preserve">6.1 </w:t>
      </w:r>
      <w:r>
        <w:rPr>
          <w:rFonts w:hint="eastAsia"/>
        </w:rPr>
        <w:t>乙方对其所供全部批次钢材的质量承担终身责任，须确保每批次钢材符合国家标准GB/T</w:t>
      </w:r>
      <w:r>
        <w:t xml:space="preserve"> </w:t>
      </w:r>
      <w:r>
        <w:rPr>
          <w:rFonts w:hint="eastAsia"/>
        </w:rPr>
        <w:t>1499.1-2017及GB/T</w:t>
      </w:r>
      <w:r>
        <w:t xml:space="preserve"> </w:t>
      </w:r>
      <w:r>
        <w:rPr>
          <w:rFonts w:hint="eastAsia"/>
        </w:rPr>
        <w:t>1499.2-2018的要求。</w:t>
      </w:r>
    </w:p>
    <w:p w14:paraId="7492894B">
      <w:pPr>
        <w:pStyle w:val="3"/>
      </w:pPr>
      <w:r>
        <w:t xml:space="preserve">6.2 </w:t>
      </w:r>
      <w:r>
        <w:rPr>
          <w:rFonts w:hint="eastAsia"/>
        </w:rPr>
        <w:t>甲方有权对到场钢材进行抽样送检，乙方须无条件配合质检部门的取样、检测工作，包括但不限于现场取样、提供相关质量证明文件、配合第三方检测机构进场等。</w:t>
      </w:r>
    </w:p>
    <w:p w14:paraId="7FF8EBD8">
      <w:pPr>
        <w:pStyle w:val="3"/>
      </w:pPr>
      <w:r>
        <w:t xml:space="preserve">6.3 </w:t>
      </w:r>
      <w:r>
        <w:rPr>
          <w:rFonts w:hint="eastAsia"/>
        </w:rPr>
        <w:t>若检测不合格，乙方须在48小时内更换合格产品，承担退换货全部费用及甲方因此延误工期造成的全部损失，并报告质检部门备案。</w:t>
      </w:r>
    </w:p>
    <w:p w14:paraId="2C572F51">
      <w:pPr>
        <w:pStyle w:val="3"/>
      </w:pPr>
      <w:r>
        <w:t xml:space="preserve">6.4 </w:t>
      </w:r>
      <w:r>
        <w:rPr>
          <w:rFonts w:hint="eastAsia"/>
        </w:rPr>
        <w:t>乙方须建立完整的供货质量追溯档案，包括每批次的钢厂来源、炉批号、检测报告、合格证等，随时备查。</w:t>
      </w:r>
    </w:p>
    <w:bookmarkEnd w:id="6"/>
    <w:p w14:paraId="4A6D3137">
      <w:pPr>
        <w:pStyle w:val="4"/>
      </w:pPr>
      <w:bookmarkStart w:id="7" w:name="第七条-验收"/>
      <w:r>
        <w:rPr>
          <w:rFonts w:hint="eastAsia"/>
        </w:rPr>
        <w:t>第七条</w:t>
      </w:r>
      <w:r>
        <w:t xml:space="preserve"> </w:t>
      </w:r>
      <w:r>
        <w:rPr>
          <w:rFonts w:hint="eastAsia"/>
        </w:rPr>
        <w:t>验收</w:t>
      </w:r>
    </w:p>
    <w:p w14:paraId="518346B5">
      <w:pPr>
        <w:pStyle w:val="23"/>
      </w:pPr>
      <w:r>
        <w:t xml:space="preserve">7.1 </w:t>
      </w:r>
      <w:r>
        <w:rPr>
          <w:rFonts w:hint="eastAsia"/>
        </w:rPr>
        <w:t>货物到场后，甲乙双方共同进行数量清点、规格核对及外观验收。</w:t>
      </w:r>
    </w:p>
    <w:p w14:paraId="2174B4CE">
      <w:pPr>
        <w:pStyle w:val="3"/>
      </w:pPr>
      <w:r>
        <w:t xml:space="preserve">7.2 </w:t>
      </w:r>
      <w:r>
        <w:rPr>
          <w:rFonts w:hint="eastAsia"/>
        </w:rPr>
        <w:t>数量及价格以甲方签收人签字确认的销售清单为准。如有异议应当日提出，逾期视为无异议。</w:t>
      </w:r>
    </w:p>
    <w:bookmarkEnd w:id="7"/>
    <w:p w14:paraId="6DC5CF89">
      <w:pPr>
        <w:pStyle w:val="4"/>
      </w:pPr>
      <w:bookmarkStart w:id="8" w:name="第八条-付款方式"/>
      <w:r>
        <w:rPr>
          <w:rFonts w:hint="eastAsia"/>
        </w:rPr>
        <w:t>第八条</w:t>
      </w:r>
      <w:r>
        <w:t xml:space="preserve"> </w:t>
      </w:r>
      <w:r>
        <w:rPr>
          <w:rFonts w:hint="eastAsia"/>
        </w:rPr>
        <w:t>付款方式</w:t>
      </w:r>
    </w:p>
    <w:p w14:paraId="0239A385">
      <w:pPr>
        <w:pStyle w:val="23"/>
      </w:pPr>
      <w:r>
        <w:t xml:space="preserve">8.1 </w:t>
      </w:r>
      <w:r>
        <w:rPr>
          <w:rFonts w:hint="eastAsia"/>
        </w:rPr>
        <w:t>每批次货物经甲方验收合格、资料齐全后，次日付款（节假日顺延）。</w:t>
      </w:r>
    </w:p>
    <w:p w14:paraId="4441D17D">
      <w:pPr>
        <w:pStyle w:val="3"/>
      </w:pPr>
      <w:r>
        <w:t xml:space="preserve">8.2 </w:t>
      </w:r>
      <w:r>
        <w:rPr>
          <w:rFonts w:hint="eastAsia"/>
        </w:rPr>
        <w:t>每批次预留质保金壹万元整（¥10,000.00），该笔质保金于下次送货支付当批货款时一并支付。</w:t>
      </w:r>
    </w:p>
    <w:p w14:paraId="36A65368">
      <w:pPr>
        <w:pStyle w:val="3"/>
      </w:pPr>
      <w:r>
        <w:t xml:space="preserve">8.3 </w:t>
      </w:r>
      <w:r>
        <w:rPr>
          <w:rFonts w:hint="eastAsia"/>
        </w:rPr>
        <w:t>最后一批次供货完成后30日内，甲方支付累计预留的全部质保金。</w:t>
      </w:r>
    </w:p>
    <w:p w14:paraId="7A0D3739">
      <w:pPr>
        <w:pStyle w:val="3"/>
      </w:pPr>
      <w:r>
        <w:t xml:space="preserve">8.4 </w:t>
      </w:r>
      <w:r>
        <w:rPr>
          <w:rFonts w:hint="eastAsia"/>
        </w:rPr>
        <w:t>乙方每次收款前须确保发票已提供，否则甲方有权顺延付款。</w:t>
      </w:r>
    </w:p>
    <w:bookmarkEnd w:id="8"/>
    <w:p w14:paraId="0F4CBA42">
      <w:pPr>
        <w:pStyle w:val="4"/>
      </w:pPr>
      <w:bookmarkStart w:id="9" w:name="第九条-违约责任"/>
      <w:r>
        <w:rPr>
          <w:rFonts w:hint="eastAsia"/>
        </w:rPr>
        <w:t>第九条</w:t>
      </w:r>
      <w:r>
        <w:t xml:space="preserve"> </w:t>
      </w:r>
      <w:r>
        <w:rPr>
          <w:rFonts w:hint="eastAsia"/>
        </w:rPr>
        <w:t>违约责任</w:t>
      </w:r>
    </w:p>
    <w:p w14:paraId="4FE9581E">
      <w:pPr>
        <w:pStyle w:val="23"/>
      </w:pPr>
      <w:r>
        <w:t xml:space="preserve">9.1 </w:t>
      </w:r>
      <w:r>
        <w:rPr>
          <w:rFonts w:hint="eastAsia"/>
        </w:rPr>
        <w:t>乙方逾期交货的，每逾期一日按该批次货款的千分之一向甲方支付违约金。</w:t>
      </w:r>
    </w:p>
    <w:p w14:paraId="4711A34D">
      <w:pPr>
        <w:pStyle w:val="3"/>
      </w:pPr>
      <w:r>
        <w:t xml:space="preserve">9.2 </w:t>
      </w:r>
      <w:r>
        <w:rPr>
          <w:rFonts w:hint="eastAsia"/>
        </w:rPr>
        <w:t>乙方所供钢材质量不合格的，除按第六条第6.3款处理外，还应向甲方支付该批次货款20%的违约金。</w:t>
      </w:r>
    </w:p>
    <w:p w14:paraId="33156530">
      <w:pPr>
        <w:pStyle w:val="3"/>
      </w:pPr>
      <w:r>
        <w:t xml:space="preserve">9.3 </w:t>
      </w:r>
      <w:r>
        <w:rPr>
          <w:rFonts w:hint="eastAsia"/>
        </w:rPr>
        <w:t>甲方逾期付款的，每逾期一日按应付未付金额的万分之五向乙方支付违约金。</w:t>
      </w:r>
    </w:p>
    <w:bookmarkEnd w:id="9"/>
    <w:p w14:paraId="06C9CC21">
      <w:pPr>
        <w:pStyle w:val="4"/>
      </w:pPr>
      <w:bookmarkStart w:id="10" w:name="第十条-争议解决"/>
      <w:r>
        <w:rPr>
          <w:rFonts w:hint="eastAsia"/>
        </w:rPr>
        <w:t>第十条</w:t>
      </w:r>
      <w:r>
        <w:t xml:space="preserve"> </w:t>
      </w:r>
      <w:r>
        <w:rPr>
          <w:rFonts w:hint="eastAsia"/>
        </w:rPr>
        <w:t>争议解决</w:t>
      </w:r>
    </w:p>
    <w:p w14:paraId="66A72376">
      <w:pPr>
        <w:pStyle w:val="23"/>
      </w:pPr>
      <w:r>
        <w:t xml:space="preserve">10.1 </w:t>
      </w:r>
      <w:r>
        <w:rPr>
          <w:rFonts w:hint="eastAsia"/>
        </w:rPr>
        <w:t>履行本合同发生争议，双方应友好协商；协商不成的，向合同签订地（天水市秦州区）人民法院起诉。</w:t>
      </w:r>
    </w:p>
    <w:bookmarkEnd w:id="10"/>
    <w:p w14:paraId="0D917CA7">
      <w:pPr>
        <w:pStyle w:val="4"/>
      </w:pPr>
      <w:bookmarkStart w:id="11" w:name="第十一条-其他约定"/>
      <w:r>
        <w:rPr>
          <w:rFonts w:hint="eastAsia"/>
        </w:rPr>
        <w:t>第十一条</w:t>
      </w:r>
      <w:r>
        <w:t xml:space="preserve"> </w:t>
      </w:r>
      <w:r>
        <w:rPr>
          <w:rFonts w:hint="eastAsia"/>
        </w:rPr>
        <w:t>其他约定</w:t>
      </w:r>
    </w:p>
    <w:p w14:paraId="66CB6BF5">
      <w:pPr>
        <w:pStyle w:val="23"/>
      </w:pPr>
      <w:r>
        <w:t xml:space="preserve">11.1 </w:t>
      </w:r>
      <w:r>
        <w:rPr>
          <w:rFonts w:hint="eastAsia"/>
        </w:rPr>
        <w:t>本合同一式肆份，甲方持叁份，乙方持壹份，具有同等法律效力。</w:t>
      </w:r>
    </w:p>
    <w:p w14:paraId="5DF3AA14">
      <w:pPr>
        <w:pStyle w:val="3"/>
      </w:pPr>
      <w:r>
        <w:t xml:space="preserve">11.2 </w:t>
      </w:r>
      <w:r>
        <w:rPr>
          <w:rFonts w:hint="eastAsia"/>
        </w:rPr>
        <w:t>本合同自双方签字盖章之日起生效。</w:t>
      </w:r>
    </w:p>
    <w:p w14:paraId="54D3298C">
      <w:pPr>
        <w:pStyle w:val="3"/>
      </w:pPr>
      <w:r>
        <w:t xml:space="preserve">11.3 </w:t>
      </w:r>
      <w:r>
        <w:rPr>
          <w:rFonts w:hint="eastAsia"/>
        </w:rPr>
        <w:t>未尽事宜，双方可签订补充协议。</w:t>
      </w:r>
      <w:bookmarkStart w:id="12" w:name="_GoBack"/>
      <w:bookmarkEnd w:id="12"/>
    </w:p>
    <w:p w14:paraId="2DE3C47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F67279">
      <w:pPr>
        <w:pStyle w:val="23"/>
      </w:pPr>
      <w:r>
        <w:rPr>
          <w:rFonts w:hint="eastAsia"/>
        </w:rPr>
        <w:t>（以下无正文）</w:t>
      </w:r>
    </w:p>
    <w:tbl>
      <w:tblPr>
        <w:tblStyle w:val="41"/>
        <w:tblW w:w="90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0"/>
        <w:gridCol w:w="4540"/>
      </w:tblGrid>
      <w:tr w14:paraId="550C1BE5">
        <w:trPr>
          <w:trHeight w:val="1043" w:hRule="atLeast"/>
          <w:tblHeader/>
        </w:trPr>
        <w:tc>
          <w:p w14:paraId="087AD62B">
            <w:pPr>
              <w:pStyle w:val="24"/>
              <w:jc w:val="left"/>
            </w:pPr>
            <w:r>
              <w:rPr>
                <w:rFonts w:hint="eastAsia"/>
              </w:rPr>
              <w:t>甲方（盖章）：</w:t>
            </w:r>
          </w:p>
        </w:tc>
        <w:tc>
          <w:p w14:paraId="2C835961">
            <w:pPr>
              <w:pStyle w:val="24"/>
              <w:jc w:val="left"/>
            </w:pPr>
            <w:r>
              <w:rPr>
                <w:rFonts w:hint="eastAsia"/>
              </w:rPr>
              <w:t>乙方（盖章）：</w:t>
            </w:r>
          </w:p>
        </w:tc>
      </w:tr>
      <w:tr w14:paraId="3F9CCE8D">
        <w:trPr>
          <w:trHeight w:val="1043" w:hRule="atLeast"/>
        </w:trPr>
        <w:tc>
          <w:p w14:paraId="2A5111D9">
            <w:pPr>
              <w:pStyle w:val="24"/>
              <w:jc w:val="left"/>
            </w:pPr>
            <w:r>
              <w:rPr>
                <w:rFonts w:hint="eastAsia"/>
              </w:rPr>
              <w:t>法定代表人/委托代理人：</w:t>
            </w:r>
          </w:p>
        </w:tc>
        <w:tc>
          <w:p w14:paraId="45207A63">
            <w:pPr>
              <w:pStyle w:val="24"/>
              <w:jc w:val="left"/>
            </w:pPr>
            <w:r>
              <w:rPr>
                <w:rFonts w:hint="eastAsia"/>
              </w:rPr>
              <w:t>法定代表人/委托代理人：</w:t>
            </w:r>
          </w:p>
        </w:tc>
      </w:tr>
      <w:tr w14:paraId="112CA428">
        <w:trPr>
          <w:trHeight w:val="1043" w:hRule="atLeast"/>
        </w:trPr>
        <w:tc>
          <w:p w14:paraId="45E9AA8B">
            <w:pPr>
              <w:pStyle w:val="24"/>
              <w:jc w:val="left"/>
            </w:pPr>
            <w:r>
              <w:rPr>
                <w:rFonts w:hint="eastAsia"/>
              </w:rPr>
              <w:t>开户银行：</w:t>
            </w:r>
          </w:p>
        </w:tc>
        <w:tc>
          <w:p w14:paraId="6DB678B5">
            <w:pPr>
              <w:pStyle w:val="24"/>
              <w:jc w:val="left"/>
            </w:pPr>
            <w:r>
              <w:rPr>
                <w:rFonts w:hint="eastAsia"/>
              </w:rPr>
              <w:t>开户银行：</w:t>
            </w:r>
          </w:p>
        </w:tc>
      </w:tr>
      <w:tr w14:paraId="38F85743">
        <w:trPr>
          <w:trHeight w:val="1043" w:hRule="atLeast"/>
        </w:trPr>
        <w:tc>
          <w:p w14:paraId="404AB32C">
            <w:pPr>
              <w:pStyle w:val="24"/>
              <w:jc w:val="left"/>
            </w:pPr>
            <w:r>
              <w:rPr>
                <w:rFonts w:hint="eastAsia"/>
              </w:rPr>
              <w:t>账</w:t>
            </w:r>
            <w:r>
              <w:t xml:space="preserve"> </w:t>
            </w:r>
            <w:r>
              <w:rPr>
                <w:rFonts w:hint="eastAsia"/>
              </w:rPr>
              <w:t>号：</w:t>
            </w:r>
          </w:p>
        </w:tc>
        <w:tc>
          <w:p w14:paraId="4709EF02">
            <w:pPr>
              <w:pStyle w:val="24"/>
              <w:jc w:val="left"/>
            </w:pPr>
            <w:r>
              <w:rPr>
                <w:rFonts w:hint="eastAsia"/>
              </w:rPr>
              <w:t>账</w:t>
            </w:r>
            <w:r>
              <w:t xml:space="preserve"> </w:t>
            </w:r>
            <w:r>
              <w:rPr>
                <w:rFonts w:hint="eastAsia"/>
              </w:rPr>
              <w:t>号：</w:t>
            </w:r>
          </w:p>
        </w:tc>
      </w:tr>
      <w:tr w14:paraId="3C2C592C">
        <w:trPr>
          <w:trHeight w:val="1043" w:hRule="atLeast"/>
        </w:trPr>
        <w:tc>
          <w:p w14:paraId="244E92EF">
            <w:pPr>
              <w:pStyle w:val="24"/>
              <w:jc w:val="left"/>
            </w:pPr>
            <w:r>
              <w:rPr>
                <w:rFonts w:hint="eastAsia"/>
              </w:rPr>
              <w:t>联系电话：</w:t>
            </w:r>
          </w:p>
        </w:tc>
        <w:tc>
          <w:p w14:paraId="20CB8B69">
            <w:pPr>
              <w:pStyle w:val="24"/>
              <w:jc w:val="left"/>
            </w:pPr>
            <w:r>
              <w:rPr>
                <w:rFonts w:hint="eastAsia"/>
              </w:rPr>
              <w:t>联系电话：</w:t>
            </w:r>
          </w:p>
        </w:tc>
      </w:tr>
    </w:tbl>
    <w:p w14:paraId="00B32C0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176738">
      <w:pPr>
        <w:pStyle w:val="3"/>
      </w:pPr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FF77A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2026-06-15T11:19:00Z</dcterms:created>
  <dc:creator>海东东</dc:creator>
  <cp:lastModifiedBy>海东东</cp:lastModifiedBy>
  <dcterms:modified xsi:type="dcterms:W3CDTF">2026-06-15T11:23:10Z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6D46A32E1F914F101E702F6A7276DA64_42</vt:lpwstr>
  </property>
</Properties>
</file>