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Incident management policy, procedure and register</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Incident management policy, procedure and register</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Why this document: it supports the NDIS Practice Standards Incident management for Sunrise Supports.</w:t>
      </w:r>
    </w:p>
    <w:p>
      <w:pPr>
        <w:pStyle w:val="Heading1"/>
        <w:spacing w:after="120" w:before="240"/>
      </w:pPr>
      <w:r>
        <w:rPr>
          <w:rFonts w:ascii="Calibri" w:cs="Calibri" w:eastAsia="Calibri" w:hAnsi="Calibri"/>
          <w:b/>
          <w:bCs/>
        </w:rPr>
        <w:t xml:space="preserve">1 Purpose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Review and complete: this section could not be drafted automatically.</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Purpose. Two short sentences, each under 15 words: what this document is for, and which standard it supports; nothing else.]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2 Scope</w:t>
      </w:r>
    </w:p>
    <w:p>
      <w:pPr>
        <w:spacing w:after="120"/>
      </w:pPr>
      <w:r>
        <w:rPr>
          <w:rFonts w:ascii="Calibri" w:cs="Calibri" w:eastAsia="Calibri" w:hAnsi="Calibri"/>
          <w:sz w:val="22"/>
          <w:szCs w:val="22"/>
        </w:rPr>
        <w:t xml:space="preserve">This policy covers Sunrise Supports. We are a sole trader operating in New South Wales.</w:t>
      </w:r>
    </w:p>
    <w:p>
      <w:pPr>
        <w:spacing w:after="120"/>
      </w:pPr>
      <w:r>
        <w:rPr>
          <w:rFonts w:ascii="Calibri" w:cs="Calibri" w:eastAsia="Calibri" w:hAnsi="Calibri"/>
          <w:sz w:val="22"/>
          <w:szCs w:val="22"/>
        </w:rPr>
        <w:t xml:space="preserve">It applies to all incidents that happen while we deliver supports to participants. It also applies to incidents that involve our workers or our own operations.</w:t>
      </w:r>
    </w:p>
    <w:p>
      <w:pPr>
        <w:pStyle w:val="ListParagraph"/>
        <w:numPr>
          <w:ilvl w:val="0"/>
          <w:numId w:val="2"/>
        </w:numPr>
        <w:spacing w:after="60"/>
      </w:pPr>
      <w:r>
        <w:rPr>
          <w:rFonts w:ascii="Calibri" w:cs="Calibri" w:eastAsia="Calibri" w:hAnsi="Calibri"/>
          <w:sz w:val="22"/>
          <w:szCs w:val="22"/>
        </w:rPr>
        <w:t xml:space="preserve">Supports we deliver: 0120 Household tasks.</w:t>
      </w:r>
    </w:p>
    <w:p>
      <w:pPr>
        <w:pStyle w:val="ListParagraph"/>
        <w:numPr>
          <w:ilvl w:val="0"/>
          <w:numId w:val="2"/>
        </w:numPr>
        <w:spacing w:after="60"/>
      </w:pPr>
      <w:r>
        <w:rPr>
          <w:rFonts w:ascii="Calibri" w:cs="Calibri" w:eastAsia="Calibri" w:hAnsi="Calibri"/>
          <w:sz w:val="22"/>
          <w:szCs w:val="22"/>
        </w:rPr>
        <w:t xml:space="preserve">Location: New South Wales.</w:t>
      </w:r>
    </w:p>
    <w:p>
      <w:pPr>
        <w:pStyle w:val="ListParagraph"/>
        <w:numPr>
          <w:ilvl w:val="0"/>
          <w:numId w:val="2"/>
        </w:numPr>
        <w:spacing w:after="60"/>
      </w:pPr>
      <w:r>
        <w:rPr>
          <w:rFonts w:ascii="Calibri" w:cs="Calibri" w:eastAsia="Calibri" w:hAnsi="Calibri"/>
          <w:sz w:val="22"/>
          <w:szCs w:val="22"/>
        </w:rPr>
        <w:t xml:space="preserve">Workers: a sole provider, with one key personnel member, who is also the person responsible for this policy.</w:t>
      </w:r>
    </w:p>
    <w:p>
      <w:pPr>
        <w:pStyle w:val="ListParagraph"/>
        <w:numPr>
          <w:ilvl w:val="0"/>
          <w:numId w:val="2"/>
        </w:numPr>
        <w:spacing w:after="60"/>
      </w:pPr>
      <w:r>
        <w:rPr>
          <w:rFonts w:ascii="Calibri" w:cs="Calibri" w:eastAsia="Calibri" w:hAnsi="Calibri"/>
          <w:sz w:val="22"/>
          <w:szCs w:val="22"/>
        </w:rPr>
        <w:t xml:space="preserve">Registration pathway: verification, under the Verification module.</w:t>
      </w:r>
    </w:p>
    <w:p>
      <w:pPr>
        <w:spacing w:after="120"/>
      </w:pPr>
      <w:r>
        <w:rPr>
          <w:rFonts w:ascii="Calibri" w:cs="Calibri" w:eastAsia="Calibri" w:hAnsi="Calibri"/>
          <w:sz w:val="22"/>
          <w:szCs w:val="22"/>
        </w:rPr>
        <w:t xml:space="preserve">The policy covers how we prevent incidents, respond to them, record them, investigate them and report them. This includes reportable incidents to the NDIS Quality and Safeguards Commission (the Commission).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confirm whether any supports will be delivered outside New South Wales, and whether any worker will be engaged in future. Update this section if so.]</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3 Definitions</w:t>
      </w:r>
    </w:p>
    <w:p>
      <w:pPr>
        <w:pStyle w:val="ListParagraph"/>
        <w:numPr>
          <w:ilvl w:val="0"/>
          <w:numId w:val="2"/>
        </w:numPr>
        <w:spacing w:after="60"/>
      </w:pPr>
      <w:r>
        <w:rPr>
          <w:rFonts w:ascii="Calibri" w:cs="Calibri" w:eastAsia="Calibri" w:hAnsi="Calibri"/>
          <w:sz w:val="22"/>
          <w:szCs w:val="22"/>
        </w:rPr>
        <w:t xml:space="preserve">Participant: a person who receives supports from us under the NDIS.</w:t>
      </w:r>
    </w:p>
    <w:p>
      <w:pPr>
        <w:pStyle w:val="ListParagraph"/>
        <w:numPr>
          <w:ilvl w:val="0"/>
          <w:numId w:val="2"/>
        </w:numPr>
        <w:spacing w:after="60"/>
      </w:pPr>
      <w:r>
        <w:rPr>
          <w:rFonts w:ascii="Calibri" w:cs="Calibri" w:eastAsia="Calibri" w:hAnsi="Calibri"/>
          <w:sz w:val="22"/>
          <w:szCs w:val="22"/>
        </w:rPr>
        <w:t xml:space="preserve">Worker: anyone who delivers or supports the delivery of our services, including the owner, people we employ, contractors and volunteers.</w:t>
      </w:r>
    </w:p>
    <w:p>
      <w:pPr>
        <w:pStyle w:val="ListParagraph"/>
        <w:numPr>
          <w:ilvl w:val="0"/>
          <w:numId w:val="2"/>
        </w:numPr>
        <w:spacing w:after="60"/>
      </w:pPr>
      <w:r>
        <w:rPr>
          <w:rFonts w:ascii="Calibri" w:cs="Calibri" w:eastAsia="Calibri" w:hAnsi="Calibri"/>
          <w:sz w:val="22"/>
          <w:szCs w:val="22"/>
        </w:rPr>
        <w:t xml:space="preserve">Key personnel: the people who own, run or make decisions for the business.</w:t>
      </w:r>
    </w:p>
    <w:p>
      <w:pPr>
        <w:pStyle w:val="ListParagraph"/>
        <w:numPr>
          <w:ilvl w:val="0"/>
          <w:numId w:val="2"/>
        </w:numPr>
        <w:spacing w:after="60"/>
      </w:pPr>
      <w:r>
        <w:rPr>
          <w:rFonts w:ascii="Calibri" w:cs="Calibri" w:eastAsia="Calibri" w:hAnsi="Calibri"/>
          <w:sz w:val="22"/>
          <w:szCs w:val="22"/>
        </w:rPr>
        <w:t xml:space="preserve">Provider: our business, named in the document control table.</w:t>
      </w:r>
    </w:p>
    <w:p>
      <w:pPr>
        <w:pStyle w:val="ListParagraph"/>
        <w:numPr>
          <w:ilvl w:val="0"/>
          <w:numId w:val="2"/>
        </w:numPr>
        <w:spacing w:after="60"/>
      </w:pPr>
      <w:r>
        <w:rPr>
          <w:rFonts w:ascii="Calibri" w:cs="Calibri" w:eastAsia="Calibri" w:hAnsi="Calibri"/>
          <w:sz w:val="22"/>
          <w:szCs w:val="22"/>
        </w:rPr>
        <w:t xml:space="preserve">The Commission: the NDIS Quality and Safeguards Commission, which registers and regulates providers.</w:t>
      </w:r>
    </w:p>
    <w:p>
      <w:pPr>
        <w:pStyle w:val="ListParagraph"/>
        <w:numPr>
          <w:ilvl w:val="0"/>
          <w:numId w:val="2"/>
        </w:numPr>
        <w:spacing w:after="60"/>
      </w:pPr>
      <w:r>
        <w:rPr>
          <w:rFonts w:ascii="Calibri" w:cs="Calibri" w:eastAsia="Calibri" w:hAnsi="Calibri"/>
          <w:sz w:val="22"/>
          <w:szCs w:val="22"/>
        </w:rPr>
        <w:t xml:space="preserve">Rules: the NDIS rules made under the National Disability Insurance Scheme Act 2013 that apply to registered providers.</w:t>
      </w:r>
    </w:p>
    <w:p>
      <w:pPr>
        <w:pStyle w:val="Heading1"/>
        <w:spacing w:after="120" w:before="240"/>
      </w:pPr>
      <w:r>
        <w:rPr>
          <w:rFonts w:ascii="Calibri" w:cs="Calibri" w:eastAsia="Calibri" w:hAnsi="Calibri"/>
          <w:b/>
          <w:bCs/>
        </w:rPr>
        <w:t xml:space="preserve">4 Policy statement</w:t>
      </w:r>
    </w:p>
    <w:p>
      <w:pPr>
        <w:spacing w:after="120"/>
      </w:pPr>
      <w:r>
        <w:rPr>
          <w:rFonts w:ascii="Calibri" w:cs="Calibri" w:eastAsia="Calibri" w:hAnsi="Calibri"/>
          <w:sz w:val="22"/>
          <w:szCs w:val="22"/>
        </w:rPr>
        <w:t xml:space="preserve">Sunrise Supports is a sole trader that provides household tasks in New South Wales. Our incident management system is designed for the size of our business and the supports we deliver. It meets the requirements of the National Disability Insurance Scheme (Incident Management and Reportable Incidents) Rules 2018 (the Rules).</w:t>
      </w:r>
    </w:p>
    <w:p>
      <w:pPr>
        <w:spacing w:after="120"/>
      </w:pPr>
      <w:r>
        <w:rPr>
          <w:rFonts w:ascii="Calibri" w:cs="Calibri" w:eastAsia="Calibri" w:hAnsi="Calibri"/>
          <w:sz w:val="22"/>
          <w:szCs w:val="22"/>
        </w:rPr>
        <w:t xml:space="preserve">We make these commitments to each participant we support.</w:t>
      </w:r>
    </w:p>
    <w:p>
      <w:pPr>
        <w:pStyle w:val="ListParagraph"/>
        <w:numPr>
          <w:ilvl w:val="0"/>
          <w:numId w:val="2"/>
        </w:numPr>
        <w:spacing w:after="60"/>
      </w:pPr>
      <w:r>
        <w:rPr>
          <w:rFonts w:ascii="Calibri" w:cs="Calibri" w:eastAsia="Calibri" w:hAnsi="Calibri"/>
          <w:sz w:val="22"/>
          <w:szCs w:val="22"/>
        </w:rPr>
        <w:t xml:space="preserve">We plan each support with the participant before it starts, to reduce the chance of harm.</w:t>
      </w:r>
    </w:p>
    <w:p>
      <w:pPr>
        <w:pStyle w:val="ListParagraph"/>
        <w:numPr>
          <w:ilvl w:val="0"/>
          <w:numId w:val="2"/>
        </w:numPr>
        <w:spacing w:after="60"/>
      </w:pPr>
      <w:r>
        <w:rPr>
          <w:rFonts w:ascii="Calibri" w:cs="Calibri" w:eastAsia="Calibri" w:hAnsi="Calibri"/>
          <w:sz w:val="22"/>
          <w:szCs w:val="22"/>
        </w:rPr>
        <w:t xml:space="preserve">We respond to every incident as soon as we become aware of it, and we put the participant's safety first.</w:t>
      </w:r>
    </w:p>
    <w:p>
      <w:pPr>
        <w:pStyle w:val="ListParagraph"/>
        <w:numPr>
          <w:ilvl w:val="0"/>
          <w:numId w:val="2"/>
        </w:numPr>
        <w:spacing w:after="60"/>
      </w:pPr>
      <w:r>
        <w:rPr>
          <w:rFonts w:ascii="Calibri" w:cs="Calibri" w:eastAsia="Calibri" w:hAnsi="Calibri"/>
          <w:sz w:val="22"/>
          <w:szCs w:val="22"/>
        </w:rPr>
        <w:t xml:space="preserve">We record every incident in the incident register, including incidents that cause no harm.</w:t>
      </w:r>
    </w:p>
    <w:p>
      <w:pPr>
        <w:pStyle w:val="ListParagraph"/>
        <w:numPr>
          <w:ilvl w:val="0"/>
          <w:numId w:val="2"/>
        </w:numPr>
        <w:spacing w:after="60"/>
      </w:pPr>
      <w:r>
        <w:rPr>
          <w:rFonts w:ascii="Calibri" w:cs="Calibri" w:eastAsia="Calibri" w:hAnsi="Calibri"/>
          <w:sz w:val="22"/>
          <w:szCs w:val="22"/>
        </w:rPr>
        <w:t xml:space="preserve">We report reportable incidents to the NDIS Quality and Safeguards Commission (the Commission) within the timeframes set by the Rules.</w:t>
      </w:r>
    </w:p>
    <w:p>
      <w:pPr>
        <w:pStyle w:val="ListParagraph"/>
        <w:numPr>
          <w:ilvl w:val="0"/>
          <w:numId w:val="2"/>
        </w:numPr>
        <w:spacing w:after="60"/>
      </w:pPr>
      <w:r>
        <w:rPr>
          <w:rFonts w:ascii="Calibri" w:cs="Calibri" w:eastAsia="Calibri" w:hAnsi="Calibri"/>
          <w:sz w:val="22"/>
          <w:szCs w:val="22"/>
        </w:rPr>
        <w:t xml:space="preserve">We review each incident to find out what caused it and what we will change to prevent it happening again.</w:t>
      </w:r>
    </w:p>
    <w:p>
      <w:pPr>
        <w:pStyle w:val="ListParagraph"/>
        <w:numPr>
          <w:ilvl w:val="0"/>
          <w:numId w:val="2"/>
        </w:numPr>
        <w:spacing w:after="60"/>
      </w:pPr>
      <w:r>
        <w:rPr>
          <w:rFonts w:ascii="Calibri" w:cs="Calibri" w:eastAsia="Calibri" w:hAnsi="Calibri"/>
          <w:sz w:val="22"/>
          <w:szCs w:val="22"/>
        </w:rPr>
        <w:t xml:space="preserve">We keep incident records private and store them safely.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Commitment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How we meet it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Quality indicator</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Prevent incidents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plan supports with the participant and review known risks before each support starts.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Respond to incidents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act straight away to keep the participant safe, then follow the steps in section 8 Incident procedure.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Record incidents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enter every incident in the incident register in section 9 Incident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Report reportable incidents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report to the Commission within the timeframes in section 7 Reportable incidents.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Learn from incidents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review each incident and record the changes we make.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Our incident management system is kept in proportion to our work. Because we have one key person, that person carries out the steps in section 6 Responsibilities. We review this policy every 12 months, or sooner if the Rules change or an incident shows that a change is needed.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and role of the key person responsible for incident management]</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5 How we put this into practice</w:t>
      </w:r>
    </w:p>
    <w:p>
      <w:pPr>
        <w:spacing w:after="120"/>
      </w:pPr>
      <w:r>
        <w:rPr>
          <w:rFonts w:ascii="Calibri" w:cs="Calibri" w:eastAsia="Calibri" w:hAnsi="Calibri"/>
          <w:sz w:val="22"/>
          <w:szCs w:val="22"/>
        </w:rPr>
        <w:t xml:space="preserve">Sunrise Supports is a sole trader. The owner is the only person who delivers supports, so the steps below are written for one person. If we later engage workers, this section will be updated before they start.</w:t>
      </w:r>
    </w:p>
    <w:p>
      <w:pPr>
        <w:pStyle w:val="ListParagraph"/>
        <w:numPr>
          <w:ilvl w:val="0"/>
          <w:numId w:val="3"/>
        </w:numPr>
        <w:spacing w:after="60"/>
      </w:pPr>
      <w:r>
        <w:rPr>
          <w:rFonts w:ascii="Calibri" w:cs="Calibri" w:eastAsia="Calibri" w:hAnsi="Calibri"/>
          <w:sz w:val="22"/>
          <w:szCs w:val="22"/>
        </w:rPr>
        <w:t xml:space="preserve">Deliver household task supports (support type 0120) to each participant according to their agreed support plan and any written instructions in the plan.</w:t>
      </w:r>
    </w:p>
    <w:p>
      <w:pPr>
        <w:pStyle w:val="ListParagraph"/>
        <w:numPr>
          <w:ilvl w:val="0"/>
          <w:numId w:val="3"/>
        </w:numPr>
        <w:spacing w:after="60"/>
      </w:pPr>
      <w:r>
        <w:rPr>
          <w:rFonts w:ascii="Calibri" w:cs="Calibri" w:eastAsia="Calibri" w:hAnsi="Calibri"/>
          <w:sz w:val="22"/>
          <w:szCs w:val="22"/>
        </w:rPr>
        <w:t xml:space="preserve">Check at the start of each visit that the participant is safe and that the support environment is safe to work in.</w:t>
      </w:r>
    </w:p>
    <w:p>
      <w:pPr>
        <w:pStyle w:val="ListParagraph"/>
        <w:numPr>
          <w:ilvl w:val="0"/>
          <w:numId w:val="3"/>
        </w:numPr>
        <w:spacing w:after="60"/>
      </w:pPr>
      <w:r>
        <w:rPr>
          <w:rFonts w:ascii="Calibri" w:cs="Calibri" w:eastAsia="Calibri" w:hAnsi="Calibri"/>
          <w:sz w:val="22"/>
          <w:szCs w:val="22"/>
        </w:rPr>
        <w:t xml:space="preserve">If something goes wrong during a visit, stop the task if it is safe to do so and make sure the participant is safe first.</w:t>
      </w:r>
    </w:p>
    <w:p>
      <w:pPr>
        <w:pStyle w:val="ListParagraph"/>
        <w:numPr>
          <w:ilvl w:val="0"/>
          <w:numId w:val="3"/>
        </w:numPr>
        <w:spacing w:after="60"/>
      </w:pPr>
      <w:r>
        <w:rPr>
          <w:rFonts w:ascii="Calibri" w:cs="Calibri" w:eastAsia="Calibri" w:hAnsi="Calibri"/>
          <w:sz w:val="22"/>
          <w:szCs w:val="22"/>
        </w:rPr>
        <w:t xml:space="preserve">As soon as the participant is safe, record what happened in the incident register (see section 9 Incident register). Do this on the day the incident occurs or becomes known.</w:t>
      </w:r>
    </w:p>
    <w:p>
      <w:pPr>
        <w:pStyle w:val="ListParagraph"/>
        <w:numPr>
          <w:ilvl w:val="0"/>
          <w:numId w:val="3"/>
        </w:numPr>
        <w:spacing w:after="60"/>
      </w:pPr>
      <w:r>
        <w:rPr>
          <w:rFonts w:ascii="Calibri" w:cs="Calibri" w:eastAsia="Calibri" w:hAnsi="Calibri"/>
          <w:sz w:val="22"/>
          <w:szCs w:val="22"/>
        </w:rPr>
        <w:t xml:space="preserve">Decide whether the incident is a reportable incident using section 7 Reportable incidents. If it may be reportable, act on it without delay.</w:t>
      </w:r>
    </w:p>
    <w:p>
      <w:pPr>
        <w:pStyle w:val="ListParagraph"/>
        <w:numPr>
          <w:ilvl w:val="0"/>
          <w:numId w:val="3"/>
        </w:numPr>
        <w:spacing w:after="60"/>
      </w:pPr>
      <w:r>
        <w:rPr>
          <w:rFonts w:ascii="Calibri" w:cs="Calibri" w:eastAsia="Calibri" w:hAnsi="Calibri"/>
          <w:sz w:val="22"/>
          <w:szCs w:val="22"/>
        </w:rPr>
        <w:t xml:space="preserve">Contact the participant, and their nominee or family where the participant has agreed, to explain what happened and what we are doing about it.</w:t>
      </w:r>
    </w:p>
    <w:p>
      <w:pPr>
        <w:pStyle w:val="ListParagraph"/>
        <w:numPr>
          <w:ilvl w:val="0"/>
          <w:numId w:val="3"/>
        </w:numPr>
        <w:spacing w:after="60"/>
      </w:pPr>
      <w:r>
        <w:rPr>
          <w:rFonts w:ascii="Calibri" w:cs="Calibri" w:eastAsia="Calibri" w:hAnsi="Calibri"/>
          <w:sz w:val="22"/>
          <w:szCs w:val="22"/>
        </w:rPr>
        <w:t xml:space="preserve">Work through the response steps in section 8 Incident procedure, including any follow-up action needed to prevent a repeat.</w:t>
      </w:r>
    </w:p>
    <w:p>
      <w:pPr>
        <w:pStyle w:val="ListParagraph"/>
        <w:numPr>
          <w:ilvl w:val="0"/>
          <w:numId w:val="3"/>
        </w:numPr>
        <w:spacing w:after="60"/>
      </w:pPr>
      <w:r>
        <w:rPr>
          <w:rFonts w:ascii="Calibri" w:cs="Calibri" w:eastAsia="Calibri" w:hAnsi="Calibri"/>
          <w:sz w:val="22"/>
          <w:szCs w:val="22"/>
        </w:rPr>
        <w:t xml:space="preserve">Review the incident register at the end of each week to check that every entry has an outcome, a follow-up action and a date for closing it.</w:t>
      </w:r>
    </w:p>
    <w:p>
      <w:pPr>
        <w:pStyle w:val="ListParagraph"/>
        <w:numPr>
          <w:ilvl w:val="0"/>
          <w:numId w:val="3"/>
        </w:numPr>
        <w:spacing w:after="60"/>
      </w:pPr>
      <w:r>
        <w:rPr>
          <w:rFonts w:ascii="Calibri" w:cs="Calibri" w:eastAsia="Calibri" w:hAnsi="Calibri"/>
          <w:sz w:val="22"/>
          <w:szCs w:val="22"/>
        </w:rPr>
        <w:t xml:space="preserve">Review the incident register every 3 months, and the policy every 12 months, as set out in section 12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Task</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How often</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Done by</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Record new incidents in the incident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On the day of the incident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Check open incidents and follow-up actions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Weekly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 the incident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3 months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 this policy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of the person who will act as back-up contact if the owner is unavailable]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6 Responsibilities</w:t>
      </w:r>
    </w:p>
    <w:p>
      <w:pPr>
        <w:spacing w:after="120"/>
      </w:pPr>
      <w:r>
        <w:rPr>
          <w:rFonts w:ascii="Calibri" w:cs="Calibri" w:eastAsia="Calibri" w:hAnsi="Calibri"/>
          <w:sz w:val="22"/>
          <w:szCs w:val="22"/>
        </w:rPr>
        <w:t xml:space="preserve">Sunrise Supports is operated as a sole trader. The owner is the only person in the business, so all roles below are held by the same person until we employ or engage other workers. Each role is listed so that the responsibilities are clear if the business grows.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(sole trader, key personnel)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Receives and acknowledges every incident. Decides whether an incident is reportable to the Commission. Makes sure reportable incidents are reported within the required timeframes. Reviews each incident and approves any action taken. Keeps the incident register up to date.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 soon as an incident happens or is found out about, and at each review</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Any worker engaged in future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Tells the owner about any incident or near miss as soon as it is safe to do so. Takes immediate safety action. Records the incident on the incident register or the incident form.</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Immediately, and no later than the end of the shift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(policy holder)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this policy, procedure and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(register holder)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the incident register and checks trends across incidents.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3 months</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of any future worker or contractor who will hold an incident role, and their contact details]</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7 Reportable incidents</w:t>
      </w:r>
    </w:p>
    <w:p>
      <w:pPr>
        <w:spacing w:after="120"/>
      </w:pPr>
      <w:r>
        <w:rPr>
          <w:rFonts w:ascii="Calibri" w:cs="Calibri" w:eastAsia="Calibri" w:hAnsi="Calibri"/>
          <w:sz w:val="22"/>
          <w:szCs w:val="22"/>
        </w:rPr>
        <w:t xml:space="preserve">Some incidents must be reported to the Commission. The categories and the timeframes are set by the NDIS (Incident Management and Reportable Incidents) Rules 2018 and the Commission's guidance, which we keep with this procedure and follow as published.</w:t>
      </w:r>
    </w:p>
    <w:p>
      <w:pPr>
        <w:spacing w:after="120"/>
      </w:pPr>
      <w:r>
        <w:rPr>
          <w:rFonts w:ascii="Calibri" w:cs="Calibri" w:eastAsia="Calibri" w:hAnsi="Calibri"/>
          <w:sz w:val="22"/>
          <w:szCs w:val="22"/>
        </w:rPr>
        <w:t xml:space="preserve">When an incident may be reportable, the key person on duty checks the Commission's current list the same day, reports through the Commission's portal within the timeframe the Rules set, records the report reference in the incident register, and keeps the participant and their supporters informed.</w:t>
      </w:r>
    </w:p>
    <w:p>
      <w:pPr>
        <w:pStyle w:val="Heading1"/>
        <w:spacing w:after="120" w:before="240"/>
      </w:pPr>
      <w:r>
        <w:rPr>
          <w:rFonts w:ascii="Calibri" w:cs="Calibri" w:eastAsia="Calibri" w:hAnsi="Calibri"/>
          <w:b/>
          <w:bCs/>
        </w:rPr>
        <w:t xml:space="preserve">8 Incident procedure</w:t>
      </w:r>
    </w:p>
    <w:p>
      <w:pPr>
        <w:spacing w:after="120"/>
      </w:pPr>
      <w:r>
        <w:rPr>
          <w:rFonts w:ascii="Calibri" w:cs="Calibri" w:eastAsia="Calibri" w:hAnsi="Calibri"/>
          <w:sz w:val="22"/>
          <w:szCs w:val="22"/>
        </w:rPr>
        <w:t xml:space="preserve">This section sets out what Sunrise Supports does, step by step, when an incident happens. As a sole trader working alone, the owner carries out every step below. Reportable incidents and their timeframes are set out in section 7 Reportable incidents, and the register is kept as described in section 9 Incident register.</w:t>
      </w:r>
    </w:p>
    <w:p>
      <w:pPr>
        <w:pStyle w:val="ListParagraph"/>
        <w:numPr>
          <w:ilvl w:val="0"/>
          <w:numId w:val="4"/>
        </w:numPr>
        <w:spacing w:after="60"/>
      </w:pPr>
      <w:r>
        <w:rPr>
          <w:rFonts w:ascii="Calibri" w:cs="Calibri" w:eastAsia="Calibri" w:hAnsi="Calibri"/>
          <w:sz w:val="22"/>
          <w:szCs w:val="22"/>
        </w:rPr>
        <w:t xml:space="preserve">Make sure the participant is safe and gets any first aid or medical help they need. Call emergency services on 000 if there is immediate danger.</w:t>
      </w:r>
    </w:p>
    <w:p>
      <w:pPr>
        <w:pStyle w:val="ListParagraph"/>
        <w:numPr>
          <w:ilvl w:val="0"/>
          <w:numId w:val="4"/>
        </w:numPr>
        <w:spacing w:after="60"/>
      </w:pPr>
      <w:r>
        <w:rPr>
          <w:rFonts w:ascii="Calibri" w:cs="Calibri" w:eastAsia="Calibri" w:hAnsi="Calibri"/>
          <w:sz w:val="22"/>
          <w:szCs w:val="22"/>
        </w:rPr>
        <w:t xml:space="preserve">Stop any risk that is still happening, for example by removing a hazard or leaving an unsafe situation.</w:t>
      </w:r>
    </w:p>
    <w:p>
      <w:pPr>
        <w:pStyle w:val="ListParagraph"/>
        <w:numPr>
          <w:ilvl w:val="0"/>
          <w:numId w:val="4"/>
        </w:numPr>
        <w:spacing w:after="60"/>
      </w:pPr>
      <w:r>
        <w:rPr>
          <w:rFonts w:ascii="Calibri" w:cs="Calibri" w:eastAsia="Calibri" w:hAnsi="Calibri"/>
          <w:sz w:val="22"/>
          <w:szCs w:val="22"/>
        </w:rPr>
        <w:t xml:space="preserve">Check whether the incident is a reportable incident under section 7 Reportable incidents. If it may be, note the time you became aware of it, because the reporting clock starts then.</w:t>
      </w:r>
    </w:p>
    <w:p>
      <w:pPr>
        <w:pStyle w:val="ListParagraph"/>
        <w:numPr>
          <w:ilvl w:val="0"/>
          <w:numId w:val="4"/>
        </w:numPr>
        <w:spacing w:after="60"/>
      </w:pPr>
      <w:r>
        <w:rPr>
          <w:rFonts w:ascii="Calibri" w:cs="Calibri" w:eastAsia="Calibri" w:hAnsi="Calibri"/>
          <w:sz w:val="22"/>
          <w:szCs w:val="22"/>
        </w:rPr>
        <w:t xml:space="preserve">Tell the participant, and their nominee or family member if the participant wants that, what happened and what we are doing about it, in plain language.</w:t>
      </w:r>
    </w:p>
    <w:p>
      <w:pPr>
        <w:pStyle w:val="ListParagraph"/>
        <w:numPr>
          <w:ilvl w:val="0"/>
          <w:numId w:val="4"/>
        </w:numPr>
        <w:spacing w:after="60"/>
      </w:pPr>
      <w:r>
        <w:rPr>
          <w:rFonts w:ascii="Calibri" w:cs="Calibri" w:eastAsia="Calibri" w:hAnsi="Calibri"/>
          <w:sz w:val="22"/>
          <w:szCs w:val="22"/>
        </w:rPr>
        <w:t xml:space="preserve">Write down what happened as soon as possible, while it is fresh. Record the date, time, place, people involved, what was seen or done, and any action taken. Keep to facts and avoid guessing about cause.</w:t>
      </w:r>
    </w:p>
    <w:p>
      <w:pPr>
        <w:pStyle w:val="ListParagraph"/>
        <w:numPr>
          <w:ilvl w:val="0"/>
          <w:numId w:val="4"/>
        </w:numPr>
        <w:spacing w:after="60"/>
      </w:pPr>
      <w:r>
        <w:rPr>
          <w:rFonts w:ascii="Calibri" w:cs="Calibri" w:eastAsia="Calibri" w:hAnsi="Calibri"/>
          <w:sz w:val="22"/>
          <w:szCs w:val="22"/>
        </w:rPr>
        <w:t xml:space="preserve">Make a report to the Commission within the timeframe in section 7 Reportable incidents if the incident is reportable. Keep a copy of what was sent.</w:t>
      </w:r>
    </w:p>
    <w:p>
      <w:pPr>
        <w:pStyle w:val="ListParagraph"/>
        <w:numPr>
          <w:ilvl w:val="0"/>
          <w:numId w:val="4"/>
        </w:numPr>
        <w:spacing w:after="60"/>
      </w:pPr>
      <w:r>
        <w:rPr>
          <w:rFonts w:ascii="Calibri" w:cs="Calibri" w:eastAsia="Calibri" w:hAnsi="Calibri"/>
          <w:sz w:val="22"/>
          <w:szCs w:val="22"/>
        </w:rPr>
        <w:t xml:space="preserve">Enter the incident in the incident register in section 9 Incident register on the same day, using the next incident number.</w:t>
      </w:r>
    </w:p>
    <w:p>
      <w:pPr>
        <w:pStyle w:val="ListParagraph"/>
        <w:numPr>
          <w:ilvl w:val="0"/>
          <w:numId w:val="4"/>
        </w:numPr>
        <w:spacing w:after="60"/>
      </w:pPr>
      <w:r>
        <w:rPr>
          <w:rFonts w:ascii="Calibri" w:cs="Calibri" w:eastAsia="Calibri" w:hAnsi="Calibri"/>
          <w:sz w:val="22"/>
          <w:szCs w:val="22"/>
        </w:rPr>
        <w:t xml:space="preserve">Review what happened and why. Decide what will prevent it happening again, such as a change to how a support is delivered, a risk assessment update, or a change to a participant's support plan, and record that decision.</w:t>
      </w:r>
    </w:p>
    <w:p>
      <w:pPr>
        <w:pStyle w:val="ListParagraph"/>
        <w:numPr>
          <w:ilvl w:val="0"/>
          <w:numId w:val="4"/>
        </w:numPr>
        <w:spacing w:after="60"/>
      </w:pPr>
      <w:r>
        <w:rPr>
          <w:rFonts w:ascii="Calibri" w:cs="Calibri" w:eastAsia="Calibri" w:hAnsi="Calibri"/>
          <w:sz w:val="22"/>
          <w:szCs w:val="22"/>
        </w:rPr>
        <w:t xml:space="preserve">Carry out each follow-up action, write down when it was done, and check that it has worked.</w:t>
      </w:r>
    </w:p>
    <w:p>
      <w:pPr>
        <w:pStyle w:val="ListParagraph"/>
        <w:numPr>
          <w:ilvl w:val="0"/>
          <w:numId w:val="4"/>
        </w:numPr>
        <w:spacing w:after="60"/>
      </w:pPr>
      <w:r>
        <w:rPr>
          <w:rFonts w:ascii="Calibri" w:cs="Calibri" w:eastAsia="Calibri" w:hAnsi="Calibri"/>
          <w:sz w:val="22"/>
          <w:szCs w:val="22"/>
        </w:rPr>
        <w:t xml:space="preserve">Review the incident record at the end of each month to make sure every incident has a finished outcome, and note any trends in the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Step</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the owner does</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Immediate response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Makes the participant safe, gets help and stops the risk</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Straight away</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Report decision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Checks whether section 7 Reportable incidents applies and notes the time of awareness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Straight away</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Record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Writes the incident record and adds it to the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Same day</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Report to the Commission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Submits the report if the incident is reportable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Within the timeframe in section 7 Reportable incidents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 and follow up</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Finds the cause, sets actions and checks they work</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Within a timeframe the owner sets and records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Monthly check</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the register for open items and trends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Monthly</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the time within which the owner reviews each incident and closes its follow-up actions, and any support contacts the owner will use for advice.]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9 Incident register</w:t>
      </w:r>
    </w:p>
    <w:p>
      <w:pPr>
        <w:spacing w:after="120"/>
      </w:pPr>
      <w:r>
        <w:rPr>
          <w:rFonts w:ascii="Calibri" w:cs="Calibri" w:eastAsia="Calibri" w:hAnsi="Calibri"/>
          <w:sz w:val="22"/>
          <w:szCs w:val="22"/>
        </w:rPr>
        <w:t xml:space="preserve">Sunrise Supports keeps this register up to date. We record a reference code for each person, never a name, date of birth, NDIS number, address or health detail.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Reference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Date received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Summary and actions</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Outcome and improvement</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[C-001]</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[Date]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[What was raised; what we did; dates]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[Outcome; what we changed]</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10 Records and evidence to retain</w:t>
      </w:r>
    </w:p>
    <w:p>
      <w:pPr>
        <w:spacing w:after="120"/>
      </w:pPr>
      <w:r>
        <w:rPr>
          <w:rFonts w:ascii="Calibri" w:cs="Calibri" w:eastAsia="Calibri" w:hAnsi="Calibri"/>
          <w:sz w:val="22"/>
          <w:szCs w:val="22"/>
        </w:rPr>
        <w:t xml:space="preserve">We keep the following records so an auditor can see this document in use.</w:t>
      </w:r>
    </w:p>
    <w:p>
      <w:pPr>
        <w:pStyle w:val="ListParagraph"/>
        <w:numPr>
          <w:ilvl w:val="0"/>
          <w:numId w:val="2"/>
        </w:numPr>
        <w:spacing w:after="60"/>
      </w:pPr>
      <w:r>
        <w:rPr>
          <w:rFonts w:ascii="Calibri" w:cs="Calibri" w:eastAsia="Calibri" w:hAnsi="Calibri"/>
          <w:sz w:val="22"/>
          <w:szCs w:val="22"/>
        </w:rPr>
        <w:t xml:space="preserve">Incident management policy and procedure proportionate to a small provider, aligned to the 2018 Rules</w:t>
      </w:r>
    </w:p>
    <w:p>
      <w:pPr>
        <w:pStyle w:val="ListParagraph"/>
        <w:numPr>
          <w:ilvl w:val="0"/>
          <w:numId w:val="2"/>
        </w:numPr>
        <w:spacing w:after="60"/>
      </w:pPr>
      <w:r>
        <w:rPr>
          <w:rFonts w:ascii="Calibri" w:cs="Calibri" w:eastAsia="Calibri" w:hAnsi="Calibri"/>
          <w:sz w:val="22"/>
          <w:szCs w:val="22"/>
        </w:rPr>
        <w:t xml:space="preserve">Incident register</w:t>
      </w:r>
    </w:p>
    <w:p>
      <w:pPr>
        <w:pStyle w:val="Heading1"/>
        <w:spacing w:after="120" w:before="240"/>
      </w:pPr>
      <w:r>
        <w:rPr>
          <w:rFonts w:ascii="Calibri" w:cs="Calibri" w:eastAsia="Calibri" w:hAnsi="Calibri"/>
          <w:b/>
          <w:bCs/>
        </w:rPr>
        <w:t xml:space="preserve">11 Related documents and registers</w:t>
      </w:r>
    </w:p>
    <w:p>
      <w:pPr>
        <w:spacing w:after="120"/>
      </w:pPr>
      <w:r>
        <w:rPr>
          <w:rFonts w:ascii="Calibri" w:cs="Calibri" w:eastAsia="Calibri" w:hAnsi="Calibri"/>
          <w:sz w:val="22"/>
          <w:szCs w:val="22"/>
        </w:rPr>
        <w:t xml:space="preserve">This document is part of the Sunrise Supports policy set prepared with Readyline on 12 October 2026.</w:t>
      </w:r>
    </w:p>
    <w:p>
      <w:pPr>
        <w:pStyle w:val="ListParagraph"/>
        <w:numPr>
          <w:ilvl w:val="0"/>
          <w:numId w:val="2"/>
        </w:numPr>
        <w:spacing w:after="60"/>
      </w:pPr>
      <w:r>
        <w:rPr>
          <w:rFonts w:ascii="Calibri" w:cs="Calibri" w:eastAsia="Calibri" w:hAnsi="Calibri"/>
          <w:sz w:val="22"/>
          <w:szCs w:val="22"/>
        </w:rPr>
        <w:t xml:space="preserve">Incident register</w:t>
      </w:r>
    </w:p>
    <w:p>
      <w:pPr>
        <w:spacing w:after="120"/>
      </w:pPr>
      <w:r>
        <w:rPr>
          <w:rFonts w:ascii="Calibri" w:cs="Calibri" w:eastAsia="Calibri" w:hAnsi="Calibri"/>
          <w:sz w:val="22"/>
          <w:szCs w:val="22"/>
        </w:rPr>
        <w:t xml:space="preserve">Practice Standards this document supports: Incident management.</w:t>
      </w:r>
    </w:p>
    <w:p>
      <w:pPr>
        <w:pStyle w:val="Heading1"/>
        <w:spacing w:after="120" w:before="240"/>
      </w:pPr>
      <w:r>
        <w:rPr>
          <w:rFonts w:ascii="Calibri" w:cs="Calibri" w:eastAsia="Calibri" w:hAnsi="Calibri"/>
          <w:b/>
          <w:bCs/>
        </w:rPr>
        <w:t xml:space="preserve">12 Review</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Incident management policy, procedure and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management policy, procedure and register</dc:title>
  <dc:creator>Prepared with Readyline</dc:creator>
  <dc:description>Incident management policy, procedure and register for Sunrise Supports</dc:description>
  <cp:lastModifiedBy>Un-named</cp:lastModifiedBy>
  <cp:revision>1</cp:revision>
  <dcterms:created xsi:type="dcterms:W3CDTF">2026-10-12T03:48:06.870Z</dcterms:created>
  <dcterms:modified xsi:type="dcterms:W3CDTF">2026-10-12T03:48:06.870Z</dcterms:modified>
</cp:coreProperties>
</file>

<file path=docProps/custom.xml><?xml version="1.0" encoding="utf-8"?>
<Properties xmlns="http://schemas.openxmlformats.org/officeDocument/2006/custom-properties" xmlns:vt="http://schemas.openxmlformats.org/officeDocument/2006/docPropsVTypes"/>
</file>