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Conflict of interest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Conflict of interest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NDIS Code of Conduct applies to every provider and worker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explains how Sunrise Supports manages conflicts of interest so participants' choices stay their own. It supports our duties under the NDIS Code of Conduct.</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Sunrise Supports. We are a sole trader. The person who owns and runs the business is also our only worker and our only key personnel.</w:t>
      </w:r>
    </w:p>
    <w:p>
      <w:pPr>
        <w:spacing w:after="120" w:line="276"/>
      </w:pPr>
      <w:r>
        <w:rPr>
          <w:rFonts w:ascii="Calibri" w:cs="Calibri" w:eastAsia="Calibri" w:hAnsi="Calibri"/>
        </w:rPr>
        <w:t xml:space="preserve">It covers the support we provide to participants in New South Wales. At the moment this is household tasks (support item class 0120 Household tasks).</w:t>
      </w:r>
    </w:p>
    <w:p>
      <w:pPr>
        <w:spacing w:after="120" w:line="276"/>
      </w:pPr>
      <w:r>
        <w:rPr>
          <w:rFonts w:ascii="Calibri" w:cs="Calibri" w:eastAsia="Calibri" w:hAnsi="Calibri"/>
        </w:rPr>
        <w:t xml:space="preserve">It applies to every decision we make that could affect a participant's choice of support, provider or service. This includes how we take on new participants, how we describe our services, and how we deal with other businesses and suppliers.</w:t>
      </w:r>
    </w:p>
    <w:p>
      <w:pPr>
        <w:pStyle w:val="ListParagraph"/>
        <w:numPr>
          <w:ilvl w:val="0"/>
          <w:numId w:val="2"/>
        </w:numPr>
        <w:spacing w:after="60" w:line="276"/>
      </w:pPr>
      <w:r>
        <w:rPr>
          <w:rFonts w:ascii="Calibri" w:cs="Calibri" w:eastAsia="Calibri" w:hAnsi="Calibri"/>
        </w:rPr>
        <w:t xml:space="preserve">Actual conflicts, where a personal or financial interest affects a decision now.</w:t>
      </w:r>
    </w:p>
    <w:p>
      <w:pPr>
        <w:pStyle w:val="ListParagraph"/>
        <w:numPr>
          <w:ilvl w:val="0"/>
          <w:numId w:val="2"/>
        </w:numPr>
        <w:spacing w:after="60" w:line="276"/>
      </w:pPr>
      <w:r>
        <w:rPr>
          <w:rFonts w:ascii="Calibri" w:cs="Calibri" w:eastAsia="Calibri" w:hAnsi="Calibri"/>
        </w:rPr>
        <w:t xml:space="preserve">Potential conflicts, where an interest could affect a decision in future.</w:t>
      </w:r>
    </w:p>
    <w:p>
      <w:pPr>
        <w:pStyle w:val="ListParagraph"/>
        <w:numPr>
          <w:ilvl w:val="0"/>
          <w:numId w:val="2"/>
        </w:numPr>
        <w:spacing w:after="60" w:line="276"/>
      </w:pPr>
      <w:r>
        <w:rPr>
          <w:rFonts w:ascii="Calibri" w:cs="Calibri" w:eastAsia="Calibri" w:hAnsi="Calibri"/>
        </w:rPr>
        <w:t xml:space="preserve">Perceived conflicts, where a participant or other person could reasonably think an interest is affecting a decision.</w:t>
      </w:r>
    </w:p>
    <w:p>
      <w:pPr>
        <w:spacing w:after="120" w:line="276"/>
      </w:pPr>
      <w:r>
        <w:rPr>
          <w:rFonts w:ascii="Calibri" w:cs="Calibri" w:eastAsia="Calibri" w:hAnsi="Calibri"/>
        </w:rPr>
        <w:t xml:space="preserve">It also covers anyone we engage in future, such as a worker, a subcontractor or a person who fills a key personnel role. They must follow this policy from their first day. If we add other support types or states, this policy will cover them from the day we start.</w:t>
      </w:r>
    </w:p>
    <w:p>
      <w:pPr>
        <w:spacing w:after="120" w:line="276"/>
      </w:pPr>
      <w:r>
        <w:rPr>
          <w:rFonts w:ascii="Calibri" w:cs="Calibri" w:eastAsia="Calibri" w:hAnsi="Calibri"/>
        </w:rPr>
        <w:t xml:space="preserve">We have roles that carry added risk, because they involve direct contact with participants or decisions about participants' money and services. We treat these roles as covered by this policy at all times. See section 6 Responsibilities for who does what.</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The NDIS Code of Conduct applies to every NDIS provider and every worker. Sunrise Supports is a sole trader, so it applies to us directly. We are open about our interests and we do not let them steer a participant's choices.</w:t>
      </w:r>
    </w:p>
    <w:p>
      <w:pPr>
        <w:spacing w:after="120" w:line="276"/>
      </w:pPr>
      <w:r>
        <w:rPr>
          <w:rFonts w:ascii="Calibri" w:cs="Calibri" w:eastAsia="Calibri" w:hAnsi="Calibri"/>
        </w:rPr>
        <w:t xml:space="preserve">We treat a conflict of interest as a risk to the participant's choice and control. This applies to actual, potential and perceived conflicts. A conflict can exist even if no one has done anything wrong.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put the participant's choices first.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give participants clear, fair information about their options, including other providers, so they can decide for themselves.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declare conflicts early.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participant in writing as soon as we see a conflict, before we start or change any support. See section 7 Declaring a conflict.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steer 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push a participant towards our services, or towards a business we have a link with, for our own benefit.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accept gifts or benefits that could influence us.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decline gifts, favours and payments from participants, their families or other businesses when they could affect our decisions.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money and support separate.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borrow from, sell to or take financial advantage of a participant. We do not become involved in a participant's money or property outside the agreed support.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records.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write down each declared conflict, what we decided and how we manage it. See section 8 Records and evidence to retain.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stop when we cannot manage a conflict.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If a conflict cannot be managed fairly, we step back from that support and help the participant find another provider.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review our own position.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check for new conflicts each time we start a new participant, take on a new type of work or change how we operate.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provide household tasks support in New South Wales. We do not use this policy to avoid a sensible arrangement. Where a conflict can be managed in the participant's interests, we say so openly and let the participant decide.</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sole trader in New South Wales. There are no other workers, so I do each step below myself. If we take on workers later, this section will be updated to say who else does what.</w:t>
      </w:r>
    </w:p>
    <w:p>
      <w:pPr>
        <w:pStyle w:val="ListParagraph"/>
        <w:numPr>
          <w:ilvl w:val="0"/>
          <w:numId w:val="3"/>
        </w:numPr>
        <w:spacing w:after="60" w:line="276"/>
      </w:pPr>
      <w:r>
        <w:rPr>
          <w:rFonts w:ascii="Calibri" w:cs="Calibri" w:eastAsia="Calibri" w:hAnsi="Calibri"/>
        </w:rPr>
        <w:t xml:space="preserve">Before I agree to provide household tasks (0120) to a participant, I check whether I have any personal, family, financial or business link that could affect the participant's choices or my advice to them.</w:t>
      </w:r>
    </w:p>
    <w:p>
      <w:pPr>
        <w:pStyle w:val="ListParagraph"/>
        <w:numPr>
          <w:ilvl w:val="0"/>
          <w:numId w:val="3"/>
        </w:numPr>
        <w:spacing w:after="60" w:line="276"/>
      </w:pPr>
      <w:r>
        <w:rPr>
          <w:rFonts w:ascii="Calibri" w:cs="Calibri" w:eastAsia="Calibri" w:hAnsi="Calibri"/>
        </w:rPr>
        <w:t xml:space="preserve">I tell each participant how I am paid and whether I get any benefit from a referral, a product or another provider. I do this before the participant agrees to any support.</w:t>
      </w:r>
    </w:p>
    <w:p>
      <w:pPr>
        <w:pStyle w:val="ListParagraph"/>
        <w:numPr>
          <w:ilvl w:val="0"/>
          <w:numId w:val="3"/>
        </w:numPr>
        <w:spacing w:after="60" w:line="276"/>
      </w:pPr>
      <w:r>
        <w:rPr>
          <w:rFonts w:ascii="Calibri" w:cs="Calibri" w:eastAsia="Calibri" w:hAnsi="Calibri"/>
        </w:rPr>
        <w:t xml:space="preserve">I never steer a participant toward my own services, another provider or a product because it benefits me. I give the participant the options they ask for and let them decide.</w:t>
      </w:r>
    </w:p>
    <w:p>
      <w:pPr>
        <w:pStyle w:val="ListParagraph"/>
        <w:numPr>
          <w:ilvl w:val="0"/>
          <w:numId w:val="3"/>
        </w:numPr>
        <w:spacing w:after="60" w:line="276"/>
      </w:pPr>
      <w:r>
        <w:rPr>
          <w:rFonts w:ascii="Calibri" w:cs="Calibri" w:eastAsia="Calibri" w:hAnsi="Calibri"/>
        </w:rPr>
        <w:t xml:space="preserve">I do not accept gifts, money or favours from a participant, a participant's family, or any provider or supplier that could be seen as a reward for a referral or a decision.</w:t>
      </w:r>
    </w:p>
    <w:p>
      <w:pPr>
        <w:pStyle w:val="ListParagraph"/>
        <w:numPr>
          <w:ilvl w:val="0"/>
          <w:numId w:val="3"/>
        </w:numPr>
        <w:spacing w:after="60" w:line="276"/>
      </w:pPr>
      <w:r>
        <w:rPr>
          <w:rFonts w:ascii="Calibri" w:cs="Calibri" w:eastAsia="Calibri" w:hAnsi="Calibri"/>
        </w:rPr>
        <w:t xml:space="preserve">If I find an actual, potential or perceived conflict, I stop and write it down using the steps in section 7 Declaring a conflict. I do this before I carry on with the related support or decision.</w:t>
      </w:r>
    </w:p>
    <w:p>
      <w:pPr>
        <w:pStyle w:val="ListParagraph"/>
        <w:numPr>
          <w:ilvl w:val="0"/>
          <w:numId w:val="3"/>
        </w:numPr>
        <w:spacing w:after="60" w:line="276"/>
      </w:pPr>
      <w:r>
        <w:rPr>
          <w:rFonts w:ascii="Calibri" w:cs="Calibri" w:eastAsia="Calibri" w:hAnsi="Calibri"/>
        </w:rPr>
        <w:t xml:space="preserve">I tell the participant about the conflict in plain words and give them the choice of another provider, with my help to find one if they ask. I note what they decide.</w:t>
      </w:r>
    </w:p>
    <w:p>
      <w:pPr>
        <w:pStyle w:val="ListParagraph"/>
        <w:numPr>
          <w:ilvl w:val="0"/>
          <w:numId w:val="3"/>
        </w:numPr>
        <w:spacing w:after="60" w:line="276"/>
      </w:pPr>
      <w:r>
        <w:rPr>
          <w:rFonts w:ascii="Calibri" w:cs="Calibri" w:eastAsia="Calibri" w:hAnsi="Calibri"/>
        </w:rPr>
        <w:t xml:space="preserve">Where I can manage the conflict and the participant still wants my support, I write down the steps I will take to keep their choices free, such as giving them information from other sources.</w:t>
      </w:r>
    </w:p>
    <w:p>
      <w:pPr>
        <w:pStyle w:val="ListParagraph"/>
        <w:numPr>
          <w:ilvl w:val="0"/>
          <w:numId w:val="3"/>
        </w:numPr>
        <w:spacing w:after="60" w:line="276"/>
      </w:pPr>
      <w:r>
        <w:rPr>
          <w:rFonts w:ascii="Calibri" w:cs="Calibri" w:eastAsia="Calibri" w:hAnsi="Calibri"/>
        </w:rPr>
        <w:t xml:space="preserve">I check for conflicts again when a participant's supports change, when I start a new type of support, and when anything changes in my own circumstances.</w:t>
      </w:r>
    </w:p>
    <w:p>
      <w:pPr>
        <w:pStyle w:val="ListParagraph"/>
        <w:numPr>
          <w:ilvl w:val="0"/>
          <w:numId w:val="3"/>
        </w:numPr>
        <w:spacing w:after="60" w:line="276"/>
      </w:pPr>
      <w:r>
        <w:rPr>
          <w:rFonts w:ascii="Calibri" w:cs="Calibri" w:eastAsia="Calibri" w:hAnsi="Calibri"/>
        </w:rPr>
        <w:t xml:space="preserve">I keep a record of every declaration, what the participant decided and what I did. The records are listed in section 8 Records and evidence to retain.</w:t>
      </w:r>
    </w:p>
    <w:p>
      <w:pPr>
        <w:pStyle w:val="ListParagraph"/>
        <w:numPr>
          <w:ilvl w:val="0"/>
          <w:numId w:val="3"/>
        </w:numPr>
        <w:spacing w:after="60" w:line="276"/>
      </w:pPr>
      <w:r>
        <w:rPr>
          <w:rFonts w:ascii="Calibri" w:cs="Calibri" w:eastAsia="Calibri" w:hAnsi="Calibri"/>
        </w:rPr>
        <w:t xml:space="preserve">I review the conflict of interest register every 3 months and this policy every 12 months, and I note the date of each review.</w:t>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as a sole trader. We have no other workers at present. The owner holds every role in this policy. The table shows who does what and when.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 (one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Reads this policy and follows it. Checks each new participant, supplier and arrangement for a conflict. Declares and records any conflict. Decides how it will be managed.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we start any new support arrangement, and whenever our circumstances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decision maker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sure participants are told about a conflict in plain words and are free to choose another provider or supplier. Does not make a choice for a participant.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Each time a conflict is found, before we go ahead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record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Writes each declaration into the conflict of interest register. Keeps the register up to date and stored safely.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Straight after each declaration or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 every 12 months. Reviews the conflict of interest register every 3 months.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 for the policy. Every 3 months for the register</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Any worker we engage in the future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Declares any conflict to the owner before starting work. Follows the steps in this policy. Tells the owner if a conflict arises later.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starting work, and as soon as a conflict arises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one person holds every role, no one else checks our decisions. We take extra care to write down each conflict and the steps we took, so an auditor can see how we acted. If a risk-assessed role is added to our work, the owner reviews this table first.</w:t>
      </w:r>
    </w:p>
    <w:p>
      <w:pPr>
        <w:spacing w:after="120" w:line="276"/>
      </w:pPr>
      <w:r>
        <w:rPr>
          <w:rFonts w:ascii="Calibri" w:cs="Calibri" w:eastAsia="Calibri" w:hAnsi="Calibri"/>
        </w:rPr>
        <w:t xml:space="preserve">The steps for declaring a conflict are in section 7 Declaring a conflict. The records we keep are listed in section 8 Records and evidence to retain.</w:t>
      </w:r>
    </w:p>
    <w:p>
      <w:pPr>
        <w:pStyle w:val="Heading1"/>
        <w:spacing w:after="120" w:before="240"/>
      </w:pPr>
      <w:r>
        <w:rPr>
          <w:rFonts w:ascii="Calibri" w:cs="Calibri" w:eastAsia="Calibri" w:hAnsi="Calibri"/>
          <w:b/>
          <w:bCs/>
        </w:rPr>
        <w:t xml:space="preserve">7 Declaring a conflict</w:t>
      </w:r>
    </w:p>
    <w:p>
      <w:pPr>
        <w:spacing w:after="120" w:line="276"/>
      </w:pPr>
      <w:r>
        <w:rPr>
          <w:rFonts w:ascii="Calibri" w:cs="Calibri" w:eastAsia="Calibri" w:hAnsi="Calibri"/>
        </w:rPr>
        <w:t xml:space="preserve">Anyone who works with Sunrise Supports declares a conflict of interest as soon as they become aware of it, in writing, using this form.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 declares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Nature of the conflict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 it is managed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 and review</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[Name and 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[nature of the conflict]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[Steps agreed]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 </w:t>
            </w:r>
            <w:r>
              <w:rPr>
                <w:rFonts w:ascii="Calibri" w:cs="Calibri" w:eastAsia="Calibri" w:hAnsi="Calibri"/>
                <w:sz w:val="24"/>
                <w:szCs w:val="24"/>
                <w:shd w:fill="FBE9D7" w:val="clear"/>
              </w:rPr>
              <w:t xml:space="preserve">[Review date]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keep every declaration in the conflict of interest register and tell the participant how the conflict is managed when it affects their supports.</w:t>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Conflict of interest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Conflict of interest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Conflict of interest policy</dc:title>
  <dc:creator>Draft prepared with Readyline</dc:creator>
  <dc:description>Conflict of interest policy for Sunrise Supports</dc:description>
  <cp:lastModifiedBy>Un-named</cp:lastModifiedBy>
  <cp:revision>1</cp:revision>
  <dcterms:created xsi:type="dcterms:W3CDTF">2026-10-14T13:57:03.654Z</dcterms:created>
  <dcterms:modified xsi:type="dcterms:W3CDTF">2026-10-14T13:57:03.654Z</dcterms:modified>
</cp:coreProperties>
</file>

<file path=docProps/custom.xml><?xml version="1.0" encoding="utf-8"?>
<Properties xmlns="http://schemas.openxmlformats.org/officeDocument/2006/custom-properties" xmlns:vt="http://schemas.openxmlformats.org/officeDocument/2006/docPropsVTypes"/>
</file>