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welcomes, answers, records and learns from feedback and complaints. It supports the Complaints management standard in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feedback and complaints about the supports Sunrise Supports delivers. Sunrise Supports is a sole trader. We deliver supports to participants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 This policy also covers any other support we add later, once we update this document.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supports we deliver in 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a sole trader with one worker, who is also our key personnel. If we engage other workers, this policy applies to them in the same way.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key personnel. This person receives, manages and decides every complaint.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Compliments, suggestions and concerns, as well as formal complaints, about our supports, our workers, our decisions and how we handle complaints.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Anyone can give us feedback or make a complaint. This includes participants, family members, nominees, advocates and other people who are concerned. A person does not need to be a participant to raise a concern with us.</w:t>
      </w:r>
    </w:p>
    <w:p>
      <w:pPr>
        <w:spacing w:after="120"/>
      </w:pPr>
      <w:r>
        <w:rPr>
          <w:rFonts w:ascii="Calibri" w:cs="Calibri" w:eastAsia="Calibri" w:hAnsi="Calibri"/>
          <w:sz w:val="22"/>
          <w:szCs w:val="22"/>
        </w:rPr>
        <w:t xml:space="preserve">We do not use restrictive practices. If this changes, we will update this policy and tell participants before we make the change.</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Policy statement. The commitments, each tied to the quality indicators listed for this document, in the provider's voice.]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 Never restate statutory timeframes, reportable-incident lists or the Commission's definitions; refer to the fixed section that holds them (for example "see section 7 Reportable incidents"). Review cycles for this document are fixed facts: policy review every 12 months; register review every 3 months. Use them and never choose a cycle.]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 Never restate statutory timeframes, reportable-incident lists or the Commission's definitions; refer to the fixed section that holds them (for example "see section 7 Reportable incidents"). Review cycles for this document are fixed facts: policy review every 12 months; register review every 3 months. Use them and never choose a cycle.]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Complaints procedure. Numbered steps with timeframes as a table; how a participant can complain to the Commission. Never restate statutory timeframes, reportable-incident lists or the Commission's definitions; refer to the fixed section that holds them (for example "see section 7 Reportable incidents").]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2026-10-12T01:40:23.652Z</dcterms:created>
  <dcterms:modified xsi:type="dcterms:W3CDTF">2026-10-12T01:40:23.652Z</dcterms:modified>
</cp:coreProperties>
</file>

<file path=docProps/custom.xml><?xml version="1.0" encoding="utf-8"?>
<Properties xmlns="http://schemas.openxmlformats.org/officeDocument/2006/custom-properties" xmlns:vt="http://schemas.openxmlformats.org/officeDocument/2006/docPropsVTypes"/>
</file>