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Title"/>
        <w:spacing w:after="120"/>
      </w:pPr>
      <w:r>
        <w:rPr>
          <w:rFonts w:ascii="Calibri" w:cs="Calibri" w:eastAsia="Calibri" w:hAnsi="Calibri"/>
          <w:b/>
          <w:bCs/>
          <w:sz w:val="40"/>
          <w:szCs w:val="40"/>
        </w:rPr>
        <w:t xml:space="preserve">Complaints management policy, procedure and register</w:t>
      </w:r>
    </w:p>
    <w:p>
      <w:pPr>
        <w:spacing w:after="240"/>
      </w:pPr>
      <w:r>
        <w:rPr>
          <w:rFonts w:ascii="Calibri" w:cs="Calibri" w:eastAsia="Calibri" w:hAnsi="Calibri"/>
          <w:i/>
          <w:iCs/>
          <w:sz w:val="22"/>
          <w:szCs w:val="22"/>
        </w:rPr>
        <w:t xml:space="preserve">Sunrise Supports</w:t>
      </w:r>
    </w:p>
    <w:p>
      <w:pPr>
        <w:pStyle w:val="Heading1"/>
        <w:spacing w:after="120" w:before="240"/>
      </w:pPr>
      <w:r>
        <w:rPr>
          <w:rFonts w:ascii="Calibri" w:cs="Calibri" w:eastAsia="Calibri" w:hAnsi="Calibri"/>
          <w:b/>
          <w:bCs/>
        </w:rPr>
        <w:t xml:space="preserve">Document control</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4500"/>
        <w:gridCol w:w="4500"/>
      </w:tblGrid>
      <w:tr>
        <w:trPr>
          <w:tblHeader/>
        </w:trPr>
        <w:tc>
          <w:tcPr>
            <w:tcW w:type="dxa" w:w="4500"/>
            <w:tcBorders>
              <w:top w:val="single" w:color="999999" w:sz="4"/>
              <w:left w:val="single" w:color="999999" w:sz="4"/>
              <w:bottom w:val="single" w:color="999999" w:sz="4"/>
              <w:right w:val="single" w:color="999999" w:sz="4"/>
            </w:tcBorders>
            <w:shd w:fill="EEEEEE" w:val="clear"/>
          </w:tcPr>
          <w:p>
            <w:r>
              <w:rPr>
                <w:rFonts w:ascii="Calibri" w:cs="Calibri" w:eastAsia="Calibri" w:hAnsi="Calibri"/>
                <w:b/>
                <w:bCs/>
                <w:sz w:val="22"/>
                <w:szCs w:val="22"/>
              </w:rPr>
              <w:t xml:space="preserve">Item</w:t>
            </w:r>
          </w:p>
        </w:tc>
        <w:tc>
          <w:tcPr>
            <w:tcW w:type="dxa" w:w="4500"/>
            <w:tcBorders>
              <w:top w:val="single" w:color="999999" w:sz="4"/>
              <w:left w:val="single" w:color="999999" w:sz="4"/>
              <w:bottom w:val="single" w:color="999999" w:sz="4"/>
              <w:right w:val="single" w:color="999999" w:sz="4"/>
            </w:tcBorders>
            <w:shd w:fill="EEEEEE" w:val="clear"/>
          </w:tcPr>
          <w:p>
            <w:r>
              <w:rPr>
                <w:rFonts w:ascii="Calibri" w:cs="Calibri" w:eastAsia="Calibri" w:hAnsi="Calibri"/>
                <w:b/>
                <w:bCs/>
                <w:sz w:val="22"/>
                <w:szCs w:val="22"/>
              </w:rPr>
              <w:t xml:space="preserve">Detail</w:t>
            </w:r>
          </w:p>
        </w:tc>
      </w:tr>
      <w:tr>
        <w:tc>
          <w:tcPr>
            <w:tcW w:type="dxa" w:w="4500"/>
            <w:tcBorders>
              <w:top w:val="single" w:color="999999" w:sz="4"/>
              <w:left w:val="single" w:color="999999" w:sz="4"/>
              <w:bottom w:val="single" w:color="999999" w:sz="4"/>
              <w:right w:val="single" w:color="999999" w:sz="4"/>
            </w:tcBorders>
          </w:tcPr>
          <w:p>
            <w:r>
              <w:rPr>
                <w:rFonts w:ascii="Calibri" w:cs="Calibri" w:eastAsia="Calibri" w:hAnsi="Calibri"/>
                <w:sz w:val="22"/>
                <w:szCs w:val="22"/>
              </w:rPr>
              <w:t xml:space="preserve">Document</w:t>
            </w:r>
          </w:p>
        </w:tc>
        <w:tc>
          <w:tcPr>
            <w:tcW w:type="dxa" w:w="4500"/>
            <w:tcBorders>
              <w:top w:val="single" w:color="999999" w:sz="4"/>
              <w:left w:val="single" w:color="999999" w:sz="4"/>
              <w:bottom w:val="single" w:color="999999" w:sz="4"/>
              <w:right w:val="single" w:color="999999" w:sz="4"/>
            </w:tcBorders>
          </w:tcPr>
          <w:p>
            <w:r>
              <w:rPr>
                <w:rFonts w:ascii="Calibri" w:cs="Calibri" w:eastAsia="Calibri" w:hAnsi="Calibri"/>
                <w:sz w:val="22"/>
                <w:szCs w:val="22"/>
              </w:rPr>
              <w:t xml:space="preserve">Complaints management policy, procedure and register</w:t>
            </w:r>
          </w:p>
        </w:tc>
      </w:tr>
      <w:tr>
        <w:tc>
          <w:tcPr>
            <w:tcW w:type="dxa" w:w="4500"/>
            <w:tcBorders>
              <w:top w:val="single" w:color="999999" w:sz="4"/>
              <w:left w:val="single" w:color="999999" w:sz="4"/>
              <w:bottom w:val="single" w:color="999999" w:sz="4"/>
              <w:right w:val="single" w:color="999999" w:sz="4"/>
            </w:tcBorders>
          </w:tcPr>
          <w:p>
            <w:r>
              <w:rPr>
                <w:rFonts w:ascii="Calibri" w:cs="Calibri" w:eastAsia="Calibri" w:hAnsi="Calibri"/>
                <w:sz w:val="22"/>
                <w:szCs w:val="22"/>
              </w:rPr>
              <w:t xml:space="preserve">Provider</w:t>
            </w:r>
          </w:p>
        </w:tc>
        <w:tc>
          <w:tcPr>
            <w:tcW w:type="dxa" w:w="4500"/>
            <w:tcBorders>
              <w:top w:val="single" w:color="999999" w:sz="4"/>
              <w:left w:val="single" w:color="999999" w:sz="4"/>
              <w:bottom w:val="single" w:color="999999" w:sz="4"/>
              <w:right w:val="single" w:color="999999" w:sz="4"/>
            </w:tcBorders>
          </w:tcPr>
          <w:p>
            <w:r>
              <w:rPr>
                <w:rFonts w:ascii="Calibri" w:cs="Calibri" w:eastAsia="Calibri" w:hAnsi="Calibri"/>
                <w:sz w:val="22"/>
                <w:szCs w:val="22"/>
              </w:rPr>
              <w:t xml:space="preserve">Sunrise Supports</w:t>
            </w:r>
          </w:p>
        </w:tc>
      </w:tr>
      <w:tr>
        <w:tc>
          <w:tcPr>
            <w:tcW w:type="dxa" w:w="4500"/>
            <w:tcBorders>
              <w:top w:val="single" w:color="999999" w:sz="4"/>
              <w:left w:val="single" w:color="999999" w:sz="4"/>
              <w:bottom w:val="single" w:color="999999" w:sz="4"/>
              <w:right w:val="single" w:color="999999" w:sz="4"/>
            </w:tcBorders>
          </w:tcPr>
          <w:p>
            <w:r>
              <w:rPr>
                <w:rFonts w:ascii="Calibri" w:cs="Calibri" w:eastAsia="Calibri" w:hAnsi="Calibri"/>
                <w:sz w:val="22"/>
                <w:szCs w:val="22"/>
              </w:rPr>
              <w:t xml:space="preserve">Version</w:t>
            </w:r>
          </w:p>
        </w:tc>
        <w:tc>
          <w:tcPr>
            <w:tcW w:type="dxa" w:w="4500"/>
            <w:tcBorders>
              <w:top w:val="single" w:color="999999" w:sz="4"/>
              <w:left w:val="single" w:color="999999" w:sz="4"/>
              <w:bottom w:val="single" w:color="999999" w:sz="4"/>
              <w:right w:val="single" w:color="999999" w:sz="4"/>
            </w:tcBorders>
          </w:tcPr>
          <w:p>
            <w:r>
              <w:rPr>
                <w:rFonts w:ascii="Calibri" w:cs="Calibri" w:eastAsia="Calibri" w:hAnsi="Calibri"/>
                <w:sz w:val="22"/>
                <w:szCs w:val="22"/>
              </w:rPr>
              <w:t xml:space="preserve">review-pack</w:t>
            </w:r>
          </w:p>
        </w:tc>
      </w:tr>
      <w:tr>
        <w:tc>
          <w:tcPr>
            <w:tcW w:type="dxa" w:w="4500"/>
            <w:tcBorders>
              <w:top w:val="single" w:color="999999" w:sz="4"/>
              <w:left w:val="single" w:color="999999" w:sz="4"/>
              <w:bottom w:val="single" w:color="999999" w:sz="4"/>
              <w:right w:val="single" w:color="999999" w:sz="4"/>
            </w:tcBorders>
          </w:tcPr>
          <w:p>
            <w:r>
              <w:rPr>
                <w:rFonts w:ascii="Calibri" w:cs="Calibri" w:eastAsia="Calibri" w:hAnsi="Calibri"/>
                <w:sz w:val="22"/>
                <w:szCs w:val="22"/>
              </w:rPr>
              <w:t xml:space="preserve">Generated</w:t>
            </w:r>
          </w:p>
        </w:tc>
        <w:tc>
          <w:tcPr>
            <w:tcW w:type="dxa" w:w="4500"/>
            <w:tcBorders>
              <w:top w:val="single" w:color="999999" w:sz="4"/>
              <w:left w:val="single" w:color="999999" w:sz="4"/>
              <w:bottom w:val="single" w:color="999999" w:sz="4"/>
              <w:right w:val="single" w:color="999999" w:sz="4"/>
            </w:tcBorders>
          </w:tcPr>
          <w:p>
            <w:r>
              <w:rPr>
                <w:rFonts w:ascii="Calibri" w:cs="Calibri" w:eastAsia="Calibri" w:hAnsi="Calibri"/>
                <w:sz w:val="22"/>
                <w:szCs w:val="22"/>
              </w:rPr>
              <w:t xml:space="preserve">12 October 2026</w:t>
            </w:r>
          </w:p>
        </w:tc>
      </w:tr>
      <w:tr>
        <w:tc>
          <w:tcPr>
            <w:tcW w:type="dxa" w:w="4500"/>
            <w:tcBorders>
              <w:top w:val="single" w:color="999999" w:sz="4"/>
              <w:left w:val="single" w:color="999999" w:sz="4"/>
              <w:bottom w:val="single" w:color="999999" w:sz="4"/>
              <w:right w:val="single" w:color="999999" w:sz="4"/>
            </w:tcBorders>
          </w:tcPr>
          <w:p>
            <w:r>
              <w:rPr>
                <w:rFonts w:ascii="Calibri" w:cs="Calibri" w:eastAsia="Calibri" w:hAnsi="Calibri"/>
                <w:sz w:val="22"/>
                <w:szCs w:val="22"/>
              </w:rPr>
              <w:t xml:space="preserve">Approval</w:t>
            </w:r>
          </w:p>
        </w:tc>
        <w:tc>
          <w:tcPr>
            <w:tcW w:type="dxa" w:w="4500"/>
            <w:tcBorders>
              <w:top w:val="single" w:color="999999" w:sz="4"/>
              <w:left w:val="single" w:color="999999" w:sz="4"/>
              <w:bottom w:val="single" w:color="999999" w:sz="4"/>
              <w:right w:val="single" w:color="999999" w:sz="4"/>
            </w:tcBorders>
          </w:tcPr>
          <w:p>
            <w:r>
              <w:rPr>
                <w:rFonts w:ascii="Calibri" w:cs="Calibri" w:eastAsia="Calibri" w:hAnsi="Calibri"/>
                <w:sz w:val="22"/>
                <w:szCs w:val="22"/>
              </w:rPr>
              <w:t xml:space="preserve">[Provider to complete: name, role and date]</w:t>
            </w:r>
          </w:p>
        </w:tc>
      </w:tr>
      <w:tr>
        <w:tc>
          <w:tcPr>
            <w:tcW w:type="dxa" w:w="4500"/>
            <w:tcBorders>
              <w:top w:val="single" w:color="999999" w:sz="4"/>
              <w:left w:val="single" w:color="999999" w:sz="4"/>
              <w:bottom w:val="single" w:color="999999" w:sz="4"/>
              <w:right w:val="single" w:color="999999" w:sz="4"/>
            </w:tcBorders>
          </w:tcPr>
          <w:p>
            <w:r>
              <w:rPr>
                <w:rFonts w:ascii="Calibri" w:cs="Calibri" w:eastAsia="Calibri" w:hAnsi="Calibri"/>
                <w:sz w:val="22"/>
                <w:szCs w:val="22"/>
              </w:rPr>
              <w:t xml:space="preserve">Next review</w:t>
            </w:r>
          </w:p>
        </w:tc>
        <w:tc>
          <w:tcPr>
            <w:tcW w:type="dxa" w:w="4500"/>
            <w:tcBorders>
              <w:top w:val="single" w:color="999999" w:sz="4"/>
              <w:left w:val="single" w:color="999999" w:sz="4"/>
              <w:bottom w:val="single" w:color="999999" w:sz="4"/>
              <w:right w:val="single" w:color="999999" w:sz="4"/>
            </w:tcBorders>
          </w:tcPr>
          <w:p>
            <w:r>
              <w:rPr>
                <w:rFonts w:ascii="Calibri" w:cs="Calibri" w:eastAsia="Calibri" w:hAnsi="Calibri"/>
                <w:sz w:val="22"/>
                <w:szCs w:val="22"/>
              </w:rPr>
              <w:t xml:space="preserve">12 October 2027</w:t>
            </w:r>
          </w:p>
        </w:tc>
      </w:tr>
    </w:tbl>
    <w:p>
      <w:pPr>
        <w:spacing w:after="120"/>
      </w:pPr>
      <w:r>
        <w:rPr>
          <w:rFonts w:ascii="Calibri" w:cs="Calibri" w:eastAsia="Calibri" w:hAnsi="Calibri"/>
          <w:sz w:val="22"/>
          <w:szCs w:val="22"/>
        </w:rPr>
        <w:t xml:space="preserve"/>
      </w:r>
    </w:p>
    <w:p>
      <w:pPr>
        <w:pStyle w:val="Heading1"/>
        <w:spacing w:after="120" w:before="240"/>
      </w:pPr>
      <w:r>
        <w:rPr>
          <w:rFonts w:ascii="Calibri" w:cs="Calibri" w:eastAsia="Calibri" w:hAnsi="Calibri"/>
          <w:b/>
          <w:bCs/>
        </w:rPr>
        <w:t xml:space="preserve">1 Purpose</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9000"/>
      </w:tblGrid>
      <w:tr>
        <w:tc>
          <w:tcPr>
            <w:tcW w:type="dxa" w:w="9000"/>
            <w:tcBorders>
              <w:top w:val="single" w:color="999999" w:sz="4"/>
              <w:left w:val="single" w:color="999999" w:sz="4"/>
              <w:bottom w:val="single" w:color="999999" w:sz="4"/>
              <w:right w:val="single" w:color="999999" w:sz="4"/>
            </w:tcBorders>
            <w:shd w:fill="FFF4CE" w:val="clear"/>
          </w:tcPr>
          <w:p>
            <w:r>
              <w:rPr>
                <w:rFonts w:ascii="Calibri" w:cs="Calibri" w:eastAsia="Calibri" w:hAnsi="Calibri"/>
                <w:i/>
                <w:iCs/>
                <w:sz w:val="22"/>
                <w:szCs w:val="22"/>
              </w:rPr>
              <w:t xml:space="preserve">Review and complete: this section could not be drafted automatically.</w:t>
            </w:r>
          </w:p>
        </w:tc>
      </w:tr>
    </w:tbl>
    <w:p>
      <w:pPr>
        <w:spacing w:after="120"/>
      </w:pPr>
      <w:r>
        <w:rPr>
          <w:rFonts w:ascii="Calibri" w:cs="Calibri" w:eastAsia="Calibri" w:hAnsi="Calibri"/>
          <w:sz w:val="22"/>
          <w:szCs w:val="22"/>
        </w:rPr>
        <w:t xml:space="preserve"/>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9000"/>
      </w:tblGrid>
      <w:tr>
        <w:tc>
          <w:tcPr>
            <w:tcW w:type="dxa" w:w="9000"/>
            <w:tcBorders>
              <w:top w:val="single" w:color="999999" w:sz="4"/>
              <w:left w:val="single" w:color="999999" w:sz="4"/>
              <w:bottom w:val="single" w:color="999999" w:sz="4"/>
              <w:right w:val="single" w:color="999999" w:sz="4"/>
            </w:tcBorders>
            <w:shd w:fill="FFF4CE" w:val="clear"/>
          </w:tcPr>
          <w:p>
            <w:r>
              <w:rPr>
                <w:rFonts w:ascii="Calibri" w:cs="Calibri" w:eastAsia="Calibri" w:hAnsi="Calibri"/>
                <w:i/>
                <w:iCs/>
                <w:sz w:val="22"/>
                <w:szCs w:val="22"/>
              </w:rPr>
              <w:t xml:space="preserve">[Provider to complete: Purpose. Two or three sentences naming the provider and what this policy commits to.]</w:t>
            </w:r>
          </w:p>
        </w:tc>
      </w:tr>
    </w:tbl>
    <w:p>
      <w:pPr>
        <w:spacing w:after="120"/>
      </w:pPr>
      <w:r>
        <w:rPr>
          <w:rFonts w:ascii="Calibri" w:cs="Calibri" w:eastAsia="Calibri" w:hAnsi="Calibri"/>
          <w:sz w:val="22"/>
          <w:szCs w:val="22"/>
        </w:rPr>
        <w:t xml:space="preserve"/>
      </w:r>
    </w:p>
    <w:p>
      <w:pPr>
        <w:pStyle w:val="Heading1"/>
        <w:spacing w:after="120" w:before="240"/>
      </w:pPr>
      <w:r>
        <w:rPr>
          <w:rFonts w:ascii="Calibri" w:cs="Calibri" w:eastAsia="Calibri" w:hAnsi="Calibri"/>
          <w:b/>
          <w:bCs/>
        </w:rPr>
        <w:t xml:space="preserve">2 Scope</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9000"/>
      </w:tblGrid>
      <w:tr>
        <w:tc>
          <w:tcPr>
            <w:tcW w:type="dxa" w:w="9000"/>
            <w:tcBorders>
              <w:top w:val="single" w:color="999999" w:sz="4"/>
              <w:left w:val="single" w:color="999999" w:sz="4"/>
              <w:bottom w:val="single" w:color="999999" w:sz="4"/>
              <w:right w:val="single" w:color="999999" w:sz="4"/>
            </w:tcBorders>
            <w:shd w:fill="FFF4CE" w:val="clear"/>
          </w:tcPr>
          <w:p>
            <w:r>
              <w:rPr>
                <w:rFonts w:ascii="Calibri" w:cs="Calibri" w:eastAsia="Calibri" w:hAnsi="Calibri"/>
                <w:i/>
                <w:iCs/>
                <w:sz w:val="22"/>
                <w:szCs w:val="22"/>
              </w:rPr>
              <w:t xml:space="preserve">Review and complete: this section could not be drafted automatically.</w:t>
            </w:r>
          </w:p>
        </w:tc>
      </w:tr>
    </w:tbl>
    <w:p>
      <w:pPr>
        <w:spacing w:after="120"/>
      </w:pPr>
      <w:r>
        <w:rPr>
          <w:rFonts w:ascii="Calibri" w:cs="Calibri" w:eastAsia="Calibri" w:hAnsi="Calibri"/>
          <w:sz w:val="22"/>
          <w:szCs w:val="22"/>
        </w:rPr>
        <w:t xml:space="preserve"/>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9000"/>
      </w:tblGrid>
      <w:tr>
        <w:tc>
          <w:tcPr>
            <w:tcW w:type="dxa" w:w="9000"/>
            <w:tcBorders>
              <w:top w:val="single" w:color="999999" w:sz="4"/>
              <w:left w:val="single" w:color="999999" w:sz="4"/>
              <w:bottom w:val="single" w:color="999999" w:sz="4"/>
              <w:right w:val="single" w:color="999999" w:sz="4"/>
            </w:tcBorders>
            <w:shd w:fill="FFF4CE" w:val="clear"/>
          </w:tcPr>
          <w:p>
            <w:r>
              <w:rPr>
                <w:rFonts w:ascii="Calibri" w:cs="Calibri" w:eastAsia="Calibri" w:hAnsi="Calibri"/>
                <w:i/>
                <w:iCs/>
                <w:sz w:val="22"/>
                <w:szCs w:val="22"/>
              </w:rPr>
              <w:t xml:space="preserve">[Provider to complete: Scope. Who and what it covers: the supports delivered, states, workers and key personnel from the questionnaire.]</w:t>
            </w:r>
          </w:p>
        </w:tc>
      </w:tr>
    </w:tbl>
    <w:p>
      <w:pPr>
        <w:spacing w:after="120"/>
      </w:pPr>
      <w:r>
        <w:rPr>
          <w:rFonts w:ascii="Calibri" w:cs="Calibri" w:eastAsia="Calibri" w:hAnsi="Calibri"/>
          <w:sz w:val="22"/>
          <w:szCs w:val="22"/>
        </w:rPr>
        <w:t xml:space="preserve"/>
      </w:r>
    </w:p>
    <w:p>
      <w:pPr>
        <w:pStyle w:val="Heading1"/>
        <w:spacing w:after="120" w:before="240"/>
      </w:pPr>
      <w:r>
        <w:rPr>
          <w:rFonts w:ascii="Calibri" w:cs="Calibri" w:eastAsia="Calibri" w:hAnsi="Calibri"/>
          <w:b/>
          <w:bCs/>
        </w:rPr>
        <w:t xml:space="preserve">3 Definitions</w:t>
      </w:r>
    </w:p>
    <w:p>
      <w:pPr>
        <w:pStyle w:val="ListParagraph"/>
        <w:numPr>
          <w:ilvl w:val="0"/>
          <w:numId w:val="2"/>
        </w:numPr>
        <w:spacing w:after="60"/>
      </w:pPr>
      <w:r>
        <w:rPr>
          <w:rFonts w:ascii="Calibri" w:cs="Calibri" w:eastAsia="Calibri" w:hAnsi="Calibri"/>
          <w:sz w:val="22"/>
          <w:szCs w:val="22"/>
        </w:rPr>
        <w:t xml:space="preserve">Participant: a person who receives supports from us under the NDIS.</w:t>
      </w:r>
    </w:p>
    <w:p>
      <w:pPr>
        <w:pStyle w:val="ListParagraph"/>
        <w:numPr>
          <w:ilvl w:val="0"/>
          <w:numId w:val="2"/>
        </w:numPr>
        <w:spacing w:after="60"/>
      </w:pPr>
      <w:r>
        <w:rPr>
          <w:rFonts w:ascii="Calibri" w:cs="Calibri" w:eastAsia="Calibri" w:hAnsi="Calibri"/>
          <w:sz w:val="22"/>
          <w:szCs w:val="22"/>
        </w:rPr>
        <w:t xml:space="preserve">Worker: anyone who delivers or supports the delivery of our services, including the owner, people we employ, contractors and volunteers.</w:t>
      </w:r>
    </w:p>
    <w:p>
      <w:pPr>
        <w:pStyle w:val="ListParagraph"/>
        <w:numPr>
          <w:ilvl w:val="0"/>
          <w:numId w:val="2"/>
        </w:numPr>
        <w:spacing w:after="60"/>
      </w:pPr>
      <w:r>
        <w:rPr>
          <w:rFonts w:ascii="Calibri" w:cs="Calibri" w:eastAsia="Calibri" w:hAnsi="Calibri"/>
          <w:sz w:val="22"/>
          <w:szCs w:val="22"/>
        </w:rPr>
        <w:t xml:space="preserve">Key personnel: the people who own, run or make decisions for the business.</w:t>
      </w:r>
    </w:p>
    <w:p>
      <w:pPr>
        <w:pStyle w:val="ListParagraph"/>
        <w:numPr>
          <w:ilvl w:val="0"/>
          <w:numId w:val="2"/>
        </w:numPr>
        <w:spacing w:after="60"/>
      </w:pPr>
      <w:r>
        <w:rPr>
          <w:rFonts w:ascii="Calibri" w:cs="Calibri" w:eastAsia="Calibri" w:hAnsi="Calibri"/>
          <w:sz w:val="22"/>
          <w:szCs w:val="22"/>
        </w:rPr>
        <w:t xml:space="preserve">Provider: our business, named in the document control table.</w:t>
      </w:r>
    </w:p>
    <w:p>
      <w:pPr>
        <w:pStyle w:val="ListParagraph"/>
        <w:numPr>
          <w:ilvl w:val="0"/>
          <w:numId w:val="2"/>
        </w:numPr>
        <w:spacing w:after="60"/>
      </w:pPr>
      <w:r>
        <w:rPr>
          <w:rFonts w:ascii="Calibri" w:cs="Calibri" w:eastAsia="Calibri" w:hAnsi="Calibri"/>
          <w:sz w:val="22"/>
          <w:szCs w:val="22"/>
        </w:rPr>
        <w:t xml:space="preserve">The Commission: the NDIS Quality and Safeguards Commission, which registers and regulates providers.</w:t>
      </w:r>
    </w:p>
    <w:p>
      <w:pPr>
        <w:pStyle w:val="ListParagraph"/>
        <w:numPr>
          <w:ilvl w:val="0"/>
          <w:numId w:val="2"/>
        </w:numPr>
        <w:spacing w:after="60"/>
      </w:pPr>
      <w:r>
        <w:rPr>
          <w:rFonts w:ascii="Calibri" w:cs="Calibri" w:eastAsia="Calibri" w:hAnsi="Calibri"/>
          <w:sz w:val="22"/>
          <w:szCs w:val="22"/>
        </w:rPr>
        <w:t xml:space="preserve">Rules: the NDIS rules made under the National Disability Insurance Scheme Act 2013 that apply to registered providers.</w:t>
      </w:r>
    </w:p>
    <w:p>
      <w:pPr>
        <w:pStyle w:val="Heading1"/>
        <w:spacing w:after="120" w:before="240"/>
      </w:pPr>
      <w:r>
        <w:rPr>
          <w:rFonts w:ascii="Calibri" w:cs="Calibri" w:eastAsia="Calibri" w:hAnsi="Calibri"/>
          <w:b/>
          <w:bCs/>
        </w:rPr>
        <w:t xml:space="preserve">4 Policy statement</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9000"/>
      </w:tblGrid>
      <w:tr>
        <w:tc>
          <w:tcPr>
            <w:tcW w:type="dxa" w:w="9000"/>
            <w:tcBorders>
              <w:top w:val="single" w:color="999999" w:sz="4"/>
              <w:left w:val="single" w:color="999999" w:sz="4"/>
              <w:bottom w:val="single" w:color="999999" w:sz="4"/>
              <w:right w:val="single" w:color="999999" w:sz="4"/>
            </w:tcBorders>
            <w:shd w:fill="FFF4CE" w:val="clear"/>
          </w:tcPr>
          <w:p>
            <w:r>
              <w:rPr>
                <w:rFonts w:ascii="Calibri" w:cs="Calibri" w:eastAsia="Calibri" w:hAnsi="Calibri"/>
                <w:i/>
                <w:iCs/>
                <w:sz w:val="22"/>
                <w:szCs w:val="22"/>
              </w:rPr>
              <w:t xml:space="preserve">Review and complete: this section could not be drafted automatically.</w:t>
            </w:r>
          </w:p>
        </w:tc>
      </w:tr>
    </w:tbl>
    <w:p>
      <w:pPr>
        <w:spacing w:after="120"/>
      </w:pPr>
      <w:r>
        <w:rPr>
          <w:rFonts w:ascii="Calibri" w:cs="Calibri" w:eastAsia="Calibri" w:hAnsi="Calibri"/>
          <w:sz w:val="22"/>
          <w:szCs w:val="22"/>
        </w:rPr>
        <w:t xml:space="preserve"/>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9000"/>
      </w:tblGrid>
      <w:tr>
        <w:tc>
          <w:tcPr>
            <w:tcW w:type="dxa" w:w="9000"/>
            <w:tcBorders>
              <w:top w:val="single" w:color="999999" w:sz="4"/>
              <w:left w:val="single" w:color="999999" w:sz="4"/>
              <w:bottom w:val="single" w:color="999999" w:sz="4"/>
              <w:right w:val="single" w:color="999999" w:sz="4"/>
            </w:tcBorders>
            <w:shd w:fill="FFF4CE" w:val="clear"/>
          </w:tcPr>
          <w:p>
            <w:r>
              <w:rPr>
                <w:rFonts w:ascii="Calibri" w:cs="Calibri" w:eastAsia="Calibri" w:hAnsi="Calibri"/>
                <w:i/>
                <w:iCs/>
                <w:sz w:val="22"/>
                <w:szCs w:val="22"/>
              </w:rPr>
              <w:t xml:space="preserve">[Provider to complete: Policy statement. The commitments, each tied to the quality indicators listed for this document, in the provider's voice.]</w:t>
            </w:r>
          </w:p>
        </w:tc>
      </w:tr>
    </w:tbl>
    <w:p>
      <w:pPr>
        <w:spacing w:after="120"/>
      </w:pPr>
      <w:r>
        <w:rPr>
          <w:rFonts w:ascii="Calibri" w:cs="Calibri" w:eastAsia="Calibri" w:hAnsi="Calibri"/>
          <w:sz w:val="22"/>
          <w:szCs w:val="22"/>
        </w:rPr>
        <w:t xml:space="preserve"/>
      </w:r>
    </w:p>
    <w:p>
      <w:pPr>
        <w:pStyle w:val="Heading1"/>
        <w:spacing w:after="120" w:before="240"/>
      </w:pPr>
      <w:r>
        <w:rPr>
          <w:rFonts w:ascii="Calibri" w:cs="Calibri" w:eastAsia="Calibri" w:hAnsi="Calibri"/>
          <w:b/>
          <w:bCs/>
        </w:rPr>
        <w:t xml:space="preserve">5 How we put this into practice</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9000"/>
      </w:tblGrid>
      <w:tr>
        <w:tc>
          <w:tcPr>
            <w:tcW w:type="dxa" w:w="9000"/>
            <w:tcBorders>
              <w:top w:val="single" w:color="999999" w:sz="4"/>
              <w:left w:val="single" w:color="999999" w:sz="4"/>
              <w:bottom w:val="single" w:color="999999" w:sz="4"/>
              <w:right w:val="single" w:color="999999" w:sz="4"/>
            </w:tcBorders>
            <w:shd w:fill="FFF4CE" w:val="clear"/>
          </w:tcPr>
          <w:p>
            <w:r>
              <w:rPr>
                <w:rFonts w:ascii="Calibri" w:cs="Calibri" w:eastAsia="Calibri" w:hAnsi="Calibri"/>
                <w:i/>
                <w:iCs/>
                <w:sz w:val="22"/>
                <w:szCs w:val="22"/>
              </w:rPr>
              <w:t xml:space="preserve">Review and complete: this section could not be drafted automatically.</w:t>
            </w:r>
          </w:p>
        </w:tc>
      </w:tr>
    </w:tbl>
    <w:p>
      <w:pPr>
        <w:spacing w:after="120"/>
      </w:pPr>
      <w:r>
        <w:rPr>
          <w:rFonts w:ascii="Calibri" w:cs="Calibri" w:eastAsia="Calibri" w:hAnsi="Calibri"/>
          <w:sz w:val="22"/>
          <w:szCs w:val="22"/>
        </w:rPr>
        <w:t xml:space="preserve"/>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9000"/>
      </w:tblGrid>
      <w:tr>
        <w:tc>
          <w:tcPr>
            <w:tcW w:type="dxa" w:w="9000"/>
            <w:tcBorders>
              <w:top w:val="single" w:color="999999" w:sz="4"/>
              <w:left w:val="single" w:color="999999" w:sz="4"/>
              <w:bottom w:val="single" w:color="999999" w:sz="4"/>
              <w:right w:val="single" w:color="999999" w:sz="4"/>
            </w:tcBorders>
            <w:shd w:fill="FFF4CE" w:val="clear"/>
          </w:tcPr>
          <w:p>
            <w:r>
              <w:rPr>
                <w:rFonts w:ascii="Calibri" w:cs="Calibri" w:eastAsia="Calibri" w:hAnsi="Calibri"/>
                <w:i/>
                <w:iCs/>
                <w:sz w:val="22"/>
                <w:szCs w:val="22"/>
              </w:rPr>
              <w:t xml:space="preserve">[Provider to complete: How we put this into practice. Numbered steps, sized to the business (sole trader wording when there are no workers).]</w:t>
            </w:r>
          </w:p>
        </w:tc>
      </w:tr>
    </w:tbl>
    <w:p>
      <w:pPr>
        <w:spacing w:after="120"/>
      </w:pPr>
      <w:r>
        <w:rPr>
          <w:rFonts w:ascii="Calibri" w:cs="Calibri" w:eastAsia="Calibri" w:hAnsi="Calibri"/>
          <w:sz w:val="22"/>
          <w:szCs w:val="22"/>
        </w:rPr>
        <w:t xml:space="preserve"/>
      </w:r>
    </w:p>
    <w:p>
      <w:pPr>
        <w:pStyle w:val="Heading1"/>
        <w:spacing w:after="120" w:before="240"/>
      </w:pPr>
      <w:r>
        <w:rPr>
          <w:rFonts w:ascii="Calibri" w:cs="Calibri" w:eastAsia="Calibri" w:hAnsi="Calibri"/>
          <w:b/>
          <w:bCs/>
        </w:rPr>
        <w:t xml:space="preserve">6 Responsibilities</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9000"/>
      </w:tblGrid>
      <w:tr>
        <w:tc>
          <w:tcPr>
            <w:tcW w:type="dxa" w:w="9000"/>
            <w:tcBorders>
              <w:top w:val="single" w:color="999999" w:sz="4"/>
              <w:left w:val="single" w:color="999999" w:sz="4"/>
              <w:bottom w:val="single" w:color="999999" w:sz="4"/>
              <w:right w:val="single" w:color="999999" w:sz="4"/>
            </w:tcBorders>
            <w:shd w:fill="FFF4CE" w:val="clear"/>
          </w:tcPr>
          <w:p>
            <w:r>
              <w:rPr>
                <w:rFonts w:ascii="Calibri" w:cs="Calibri" w:eastAsia="Calibri" w:hAnsi="Calibri"/>
                <w:i/>
                <w:iCs/>
                <w:sz w:val="22"/>
                <w:szCs w:val="22"/>
              </w:rPr>
              <w:t xml:space="preserve">Review and complete: this section could not be drafted automatically.</w:t>
            </w:r>
          </w:p>
        </w:tc>
      </w:tr>
    </w:tbl>
    <w:p>
      <w:pPr>
        <w:spacing w:after="120"/>
      </w:pPr>
      <w:r>
        <w:rPr>
          <w:rFonts w:ascii="Calibri" w:cs="Calibri" w:eastAsia="Calibri" w:hAnsi="Calibri"/>
          <w:sz w:val="22"/>
          <w:szCs w:val="22"/>
        </w:rPr>
        <w:t xml:space="preserve"/>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9000"/>
      </w:tblGrid>
      <w:tr>
        <w:tc>
          <w:tcPr>
            <w:tcW w:type="dxa" w:w="9000"/>
            <w:tcBorders>
              <w:top w:val="single" w:color="999999" w:sz="4"/>
              <w:left w:val="single" w:color="999999" w:sz="4"/>
              <w:bottom w:val="single" w:color="999999" w:sz="4"/>
              <w:right w:val="single" w:color="999999" w:sz="4"/>
            </w:tcBorders>
            <w:shd w:fill="FFF4CE" w:val="clear"/>
          </w:tcPr>
          <w:p>
            <w:r>
              <w:rPr>
                <w:rFonts w:ascii="Calibri" w:cs="Calibri" w:eastAsia="Calibri" w:hAnsi="Calibri"/>
                <w:i/>
                <w:iCs/>
                <w:sz w:val="22"/>
                <w:szCs w:val="22"/>
              </w:rPr>
              <w:t xml:space="preserve">[Provider to complete: Responsibilities. Table of role and responsibility; roles come from the business structure and worker count.]</w:t>
            </w:r>
          </w:p>
        </w:tc>
      </w:tr>
    </w:tbl>
    <w:p>
      <w:pPr>
        <w:spacing w:after="120"/>
      </w:pPr>
      <w:r>
        <w:rPr>
          <w:rFonts w:ascii="Calibri" w:cs="Calibri" w:eastAsia="Calibri" w:hAnsi="Calibri"/>
          <w:sz w:val="22"/>
          <w:szCs w:val="22"/>
        </w:rPr>
        <w:t xml:space="preserve"/>
      </w:r>
    </w:p>
    <w:p>
      <w:pPr>
        <w:pStyle w:val="Heading1"/>
        <w:spacing w:after="120" w:before="240"/>
      </w:pPr>
      <w:r>
        <w:rPr>
          <w:rFonts w:ascii="Calibri" w:cs="Calibri" w:eastAsia="Calibri" w:hAnsi="Calibri"/>
          <w:b/>
          <w:bCs/>
        </w:rPr>
        <w:t xml:space="preserve">7 Complaints procedure</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9000"/>
      </w:tblGrid>
      <w:tr>
        <w:tc>
          <w:tcPr>
            <w:tcW w:type="dxa" w:w="9000"/>
            <w:tcBorders>
              <w:top w:val="single" w:color="999999" w:sz="4"/>
              <w:left w:val="single" w:color="999999" w:sz="4"/>
              <w:bottom w:val="single" w:color="999999" w:sz="4"/>
              <w:right w:val="single" w:color="999999" w:sz="4"/>
            </w:tcBorders>
            <w:shd w:fill="FFF4CE" w:val="clear"/>
          </w:tcPr>
          <w:p>
            <w:r>
              <w:rPr>
                <w:rFonts w:ascii="Calibri" w:cs="Calibri" w:eastAsia="Calibri" w:hAnsi="Calibri"/>
                <w:i/>
                <w:iCs/>
                <w:sz w:val="22"/>
                <w:szCs w:val="22"/>
              </w:rPr>
              <w:t xml:space="preserve">Review and complete: this section could not be drafted automatically.</w:t>
            </w:r>
          </w:p>
        </w:tc>
      </w:tr>
    </w:tbl>
    <w:p>
      <w:pPr>
        <w:spacing w:after="120"/>
      </w:pPr>
      <w:r>
        <w:rPr>
          <w:rFonts w:ascii="Calibri" w:cs="Calibri" w:eastAsia="Calibri" w:hAnsi="Calibri"/>
          <w:sz w:val="22"/>
          <w:szCs w:val="22"/>
        </w:rPr>
        <w:t xml:space="preserve"/>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9000"/>
      </w:tblGrid>
      <w:tr>
        <w:tc>
          <w:tcPr>
            <w:tcW w:type="dxa" w:w="9000"/>
            <w:tcBorders>
              <w:top w:val="single" w:color="999999" w:sz="4"/>
              <w:left w:val="single" w:color="999999" w:sz="4"/>
              <w:bottom w:val="single" w:color="999999" w:sz="4"/>
              <w:right w:val="single" w:color="999999" w:sz="4"/>
            </w:tcBorders>
            <w:shd w:fill="FFF4CE" w:val="clear"/>
          </w:tcPr>
          <w:p>
            <w:r>
              <w:rPr>
                <w:rFonts w:ascii="Calibri" w:cs="Calibri" w:eastAsia="Calibri" w:hAnsi="Calibri"/>
                <w:i/>
                <w:iCs/>
                <w:sz w:val="22"/>
                <w:szCs w:val="22"/>
              </w:rPr>
              <w:t xml:space="preserve">[Provider to complete: Complaints procedure. Numbered steps with timeframes as a table; how a participant can complain to the Commission.]</w:t>
            </w:r>
          </w:p>
        </w:tc>
      </w:tr>
    </w:tbl>
    <w:p>
      <w:pPr>
        <w:spacing w:after="120"/>
      </w:pPr>
      <w:r>
        <w:rPr>
          <w:rFonts w:ascii="Calibri" w:cs="Calibri" w:eastAsia="Calibri" w:hAnsi="Calibri"/>
          <w:sz w:val="22"/>
          <w:szCs w:val="22"/>
        </w:rPr>
        <w:t xml:space="preserve"/>
      </w:r>
    </w:p>
    <w:p>
      <w:pPr>
        <w:pStyle w:val="Heading1"/>
        <w:spacing w:after="120" w:before="240"/>
      </w:pPr>
      <w:r>
        <w:rPr>
          <w:rFonts w:ascii="Calibri" w:cs="Calibri" w:eastAsia="Calibri" w:hAnsi="Calibri"/>
          <w:b/>
          <w:bCs/>
        </w:rPr>
        <w:t xml:space="preserve">8 Complaints register</w:t>
      </w:r>
    </w:p>
    <w:p>
      <w:pPr>
        <w:spacing w:after="120"/>
      </w:pPr>
      <w:r>
        <w:rPr>
          <w:rFonts w:ascii="Calibri" w:cs="Calibri" w:eastAsia="Calibri" w:hAnsi="Calibri"/>
          <w:sz w:val="22"/>
          <w:szCs w:val="22"/>
        </w:rPr>
        <w:t xml:space="preserve">Sunrise Supports keeps this register up to date. We record a reference code for each person, never a name, date of birth, NDIS number, address or health detail.</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250"/>
        <w:gridCol w:w="2250"/>
        <w:gridCol w:w="2250"/>
        <w:gridCol w:w="2250"/>
      </w:tblGrid>
      <w:tr>
        <w:trPr>
          <w:tblHeader/>
        </w:trPr>
        <w:tc>
          <w:tcPr>
            <w:tcW w:type="dxa" w:w="2250"/>
            <w:tcBorders>
              <w:top w:val="single" w:color="999999" w:sz="4"/>
              <w:left w:val="single" w:color="999999" w:sz="4"/>
              <w:bottom w:val="single" w:color="999999" w:sz="4"/>
              <w:right w:val="single" w:color="999999" w:sz="4"/>
            </w:tcBorders>
            <w:shd w:fill="EEEEEE" w:val="clear"/>
          </w:tcPr>
          <w:p>
            <w:r>
              <w:rPr>
                <w:rFonts w:ascii="Calibri" w:cs="Calibri" w:eastAsia="Calibri" w:hAnsi="Calibri"/>
                <w:b/>
                <w:bCs/>
                <w:sz w:val="22"/>
                <w:szCs w:val="22"/>
              </w:rPr>
              <w:t xml:space="preserve">Reference</w:t>
            </w:r>
          </w:p>
        </w:tc>
        <w:tc>
          <w:tcPr>
            <w:tcW w:type="dxa" w:w="2250"/>
            <w:tcBorders>
              <w:top w:val="single" w:color="999999" w:sz="4"/>
              <w:left w:val="single" w:color="999999" w:sz="4"/>
              <w:bottom w:val="single" w:color="999999" w:sz="4"/>
              <w:right w:val="single" w:color="999999" w:sz="4"/>
            </w:tcBorders>
            <w:shd w:fill="EEEEEE" w:val="clear"/>
          </w:tcPr>
          <w:p>
            <w:r>
              <w:rPr>
                <w:rFonts w:ascii="Calibri" w:cs="Calibri" w:eastAsia="Calibri" w:hAnsi="Calibri"/>
                <w:b/>
                <w:bCs/>
                <w:sz w:val="22"/>
                <w:szCs w:val="22"/>
              </w:rPr>
              <w:t xml:space="preserve">Date received</w:t>
            </w:r>
          </w:p>
        </w:tc>
        <w:tc>
          <w:tcPr>
            <w:tcW w:type="dxa" w:w="2250"/>
            <w:tcBorders>
              <w:top w:val="single" w:color="999999" w:sz="4"/>
              <w:left w:val="single" w:color="999999" w:sz="4"/>
              <w:bottom w:val="single" w:color="999999" w:sz="4"/>
              <w:right w:val="single" w:color="999999" w:sz="4"/>
            </w:tcBorders>
            <w:shd w:fill="EEEEEE" w:val="clear"/>
          </w:tcPr>
          <w:p>
            <w:r>
              <w:rPr>
                <w:rFonts w:ascii="Calibri" w:cs="Calibri" w:eastAsia="Calibri" w:hAnsi="Calibri"/>
                <w:b/>
                <w:bCs/>
                <w:sz w:val="22"/>
                <w:szCs w:val="22"/>
              </w:rPr>
              <w:t xml:space="preserve">Summary and actions</w:t>
            </w:r>
          </w:p>
        </w:tc>
        <w:tc>
          <w:tcPr>
            <w:tcW w:type="dxa" w:w="2250"/>
            <w:tcBorders>
              <w:top w:val="single" w:color="999999" w:sz="4"/>
              <w:left w:val="single" w:color="999999" w:sz="4"/>
              <w:bottom w:val="single" w:color="999999" w:sz="4"/>
              <w:right w:val="single" w:color="999999" w:sz="4"/>
            </w:tcBorders>
            <w:shd w:fill="EEEEEE" w:val="clear"/>
          </w:tcPr>
          <w:p>
            <w:r>
              <w:rPr>
                <w:rFonts w:ascii="Calibri" w:cs="Calibri" w:eastAsia="Calibri" w:hAnsi="Calibri"/>
                <w:b/>
                <w:bCs/>
                <w:sz w:val="22"/>
                <w:szCs w:val="22"/>
              </w:rPr>
              <w:t xml:space="preserve">Outcome and improvement</w:t>
            </w:r>
          </w:p>
        </w:tc>
      </w:tr>
      <w:tr>
        <w:tc>
          <w:tcPr>
            <w:tcW w:type="dxa" w:w="2250"/>
            <w:tcBorders>
              <w:top w:val="single" w:color="999999" w:sz="4"/>
              <w:left w:val="single" w:color="999999" w:sz="4"/>
              <w:bottom w:val="single" w:color="999999" w:sz="4"/>
              <w:right w:val="single" w:color="999999" w:sz="4"/>
            </w:tcBorders>
          </w:tcPr>
          <w:p>
            <w:r>
              <w:rPr>
                <w:rFonts w:ascii="Calibri" w:cs="Calibri" w:eastAsia="Calibri" w:hAnsi="Calibri"/>
                <w:sz w:val="22"/>
                <w:szCs w:val="22"/>
              </w:rPr>
              <w:t xml:space="preserve">[C-001]</w:t>
            </w:r>
          </w:p>
        </w:tc>
        <w:tc>
          <w:tcPr>
            <w:tcW w:type="dxa" w:w="2250"/>
            <w:tcBorders>
              <w:top w:val="single" w:color="999999" w:sz="4"/>
              <w:left w:val="single" w:color="999999" w:sz="4"/>
              <w:bottom w:val="single" w:color="999999" w:sz="4"/>
              <w:right w:val="single" w:color="999999" w:sz="4"/>
            </w:tcBorders>
          </w:tcPr>
          <w:p>
            <w:r>
              <w:rPr>
                <w:rFonts w:ascii="Calibri" w:cs="Calibri" w:eastAsia="Calibri" w:hAnsi="Calibri"/>
                <w:sz w:val="22"/>
                <w:szCs w:val="22"/>
              </w:rPr>
              <w:t xml:space="preserve">[Date]</w:t>
            </w:r>
          </w:p>
        </w:tc>
        <w:tc>
          <w:tcPr>
            <w:tcW w:type="dxa" w:w="2250"/>
            <w:tcBorders>
              <w:top w:val="single" w:color="999999" w:sz="4"/>
              <w:left w:val="single" w:color="999999" w:sz="4"/>
              <w:bottom w:val="single" w:color="999999" w:sz="4"/>
              <w:right w:val="single" w:color="999999" w:sz="4"/>
            </w:tcBorders>
          </w:tcPr>
          <w:p>
            <w:r>
              <w:rPr>
                <w:rFonts w:ascii="Calibri" w:cs="Calibri" w:eastAsia="Calibri" w:hAnsi="Calibri"/>
                <w:sz w:val="22"/>
                <w:szCs w:val="22"/>
              </w:rPr>
              <w:t xml:space="preserve">[What was raised; what we did; dates]</w:t>
            </w:r>
          </w:p>
        </w:tc>
        <w:tc>
          <w:tcPr>
            <w:tcW w:type="dxa" w:w="2250"/>
            <w:tcBorders>
              <w:top w:val="single" w:color="999999" w:sz="4"/>
              <w:left w:val="single" w:color="999999" w:sz="4"/>
              <w:bottom w:val="single" w:color="999999" w:sz="4"/>
              <w:right w:val="single" w:color="999999" w:sz="4"/>
            </w:tcBorders>
          </w:tcPr>
          <w:p>
            <w:r>
              <w:rPr>
                <w:rFonts w:ascii="Calibri" w:cs="Calibri" w:eastAsia="Calibri" w:hAnsi="Calibri"/>
                <w:sz w:val="22"/>
                <w:szCs w:val="22"/>
              </w:rPr>
              <w:t xml:space="preserve">[Outcome; what we changed]</w:t>
            </w:r>
          </w:p>
        </w:tc>
      </w:tr>
    </w:tbl>
    <w:p>
      <w:pPr>
        <w:spacing w:after="120"/>
      </w:pPr>
      <w:r>
        <w:rPr>
          <w:rFonts w:ascii="Calibri" w:cs="Calibri" w:eastAsia="Calibri" w:hAnsi="Calibri"/>
          <w:sz w:val="22"/>
          <w:szCs w:val="22"/>
        </w:rPr>
        <w:t xml:space="preserve"/>
      </w:r>
    </w:p>
    <w:p>
      <w:pPr>
        <w:pStyle w:val="Heading1"/>
        <w:spacing w:after="120" w:before="240"/>
      </w:pPr>
      <w:r>
        <w:rPr>
          <w:rFonts w:ascii="Calibri" w:cs="Calibri" w:eastAsia="Calibri" w:hAnsi="Calibri"/>
          <w:b/>
          <w:bCs/>
        </w:rPr>
        <w:t xml:space="preserve">9 Records and evidence to retain</w:t>
      </w:r>
    </w:p>
    <w:p>
      <w:pPr>
        <w:spacing w:after="120"/>
      </w:pPr>
      <w:r>
        <w:rPr>
          <w:rFonts w:ascii="Calibri" w:cs="Calibri" w:eastAsia="Calibri" w:hAnsi="Calibri"/>
          <w:sz w:val="22"/>
          <w:szCs w:val="22"/>
        </w:rPr>
        <w:t xml:space="preserve">We keep the following records so an auditor can see this document in use.</w:t>
      </w:r>
    </w:p>
    <w:p>
      <w:pPr>
        <w:pStyle w:val="ListParagraph"/>
        <w:numPr>
          <w:ilvl w:val="0"/>
          <w:numId w:val="2"/>
        </w:numPr>
        <w:spacing w:after="60"/>
      </w:pPr>
      <w:r>
        <w:rPr>
          <w:rFonts w:ascii="Calibri" w:cs="Calibri" w:eastAsia="Calibri" w:hAnsi="Calibri"/>
          <w:sz w:val="22"/>
          <w:szCs w:val="22"/>
        </w:rPr>
        <w:t xml:space="preserve">Feedback and complaints management policy and procedure, aligned to the Complaints Management and Resolution Rules 2018</w:t>
      </w:r>
    </w:p>
    <w:p>
      <w:pPr>
        <w:pStyle w:val="ListParagraph"/>
        <w:numPr>
          <w:ilvl w:val="0"/>
          <w:numId w:val="2"/>
        </w:numPr>
        <w:spacing w:after="60"/>
      </w:pPr>
      <w:r>
        <w:rPr>
          <w:rFonts w:ascii="Calibri" w:cs="Calibri" w:eastAsia="Calibri" w:hAnsi="Calibri"/>
          <w:sz w:val="22"/>
          <w:szCs w:val="22"/>
        </w:rPr>
        <w:t xml:space="preserve">Complaints register with acknowledgement, actions, outcomes and improvements</w:t>
      </w:r>
    </w:p>
    <w:p>
      <w:pPr>
        <w:pStyle w:val="ListParagraph"/>
        <w:numPr>
          <w:ilvl w:val="0"/>
          <w:numId w:val="2"/>
        </w:numPr>
        <w:spacing w:after="60"/>
      </w:pPr>
      <w:r>
        <w:rPr>
          <w:rFonts w:ascii="Calibri" w:cs="Calibri" w:eastAsia="Calibri" w:hAnsi="Calibri"/>
          <w:sz w:val="22"/>
          <w:szCs w:val="22"/>
        </w:rPr>
        <w:t xml:space="preserve">Participant-facing information on how to complain, including to the Commission and advocates</w:t>
      </w:r>
    </w:p>
    <w:p>
      <w:pPr>
        <w:pStyle w:val="ListParagraph"/>
        <w:numPr>
          <w:ilvl w:val="0"/>
          <w:numId w:val="2"/>
        </w:numPr>
        <w:spacing w:after="60"/>
      </w:pPr>
      <w:r>
        <w:rPr>
          <w:rFonts w:ascii="Calibri" w:cs="Calibri" w:eastAsia="Calibri" w:hAnsi="Calibri"/>
          <w:sz w:val="22"/>
          <w:szCs w:val="22"/>
        </w:rPr>
        <w:t xml:space="preserve">Worker training records on complaints handling</w:t>
      </w:r>
    </w:p>
    <w:p>
      <w:pPr>
        <w:pStyle w:val="ListParagraph"/>
        <w:numPr>
          <w:ilvl w:val="0"/>
          <w:numId w:val="2"/>
        </w:numPr>
        <w:spacing w:after="60"/>
      </w:pPr>
      <w:r>
        <w:rPr>
          <w:rFonts w:ascii="Calibri" w:cs="Calibri" w:eastAsia="Calibri" w:hAnsi="Calibri"/>
          <w:sz w:val="22"/>
          <w:szCs w:val="22"/>
        </w:rPr>
        <w:t xml:space="preserve">Complaints management and resolution policy and procedure aligned to the 2018 Rules</w:t>
      </w:r>
    </w:p>
    <w:p>
      <w:pPr>
        <w:pStyle w:val="ListParagraph"/>
        <w:numPr>
          <w:ilvl w:val="0"/>
          <w:numId w:val="2"/>
        </w:numPr>
        <w:spacing w:after="60"/>
      </w:pPr>
      <w:r>
        <w:rPr>
          <w:rFonts w:ascii="Calibri" w:cs="Calibri" w:eastAsia="Calibri" w:hAnsi="Calibri"/>
          <w:sz w:val="22"/>
          <w:szCs w:val="22"/>
        </w:rPr>
        <w:t xml:space="preserve">Complaints register</w:t>
      </w:r>
    </w:p>
    <w:p>
      <w:pPr>
        <w:pStyle w:val="Heading1"/>
        <w:spacing w:after="120" w:before="240"/>
      </w:pPr>
      <w:r>
        <w:rPr>
          <w:rFonts w:ascii="Calibri" w:cs="Calibri" w:eastAsia="Calibri" w:hAnsi="Calibri"/>
          <w:b/>
          <w:bCs/>
        </w:rPr>
        <w:t xml:space="preserve">10 Related documents and registers</w:t>
      </w:r>
    </w:p>
    <w:p>
      <w:pPr>
        <w:spacing w:after="120"/>
      </w:pPr>
      <w:r>
        <w:rPr>
          <w:rFonts w:ascii="Calibri" w:cs="Calibri" w:eastAsia="Calibri" w:hAnsi="Calibri"/>
          <w:sz w:val="22"/>
          <w:szCs w:val="22"/>
        </w:rPr>
        <w:t xml:space="preserve">This document is part of the Sunrise Supports policy set prepared with Readyline on 12 October 2026.</w:t>
      </w:r>
    </w:p>
    <w:p>
      <w:pPr>
        <w:pStyle w:val="ListParagraph"/>
        <w:numPr>
          <w:ilvl w:val="0"/>
          <w:numId w:val="2"/>
        </w:numPr>
        <w:spacing w:after="60"/>
      </w:pPr>
      <w:r>
        <w:rPr>
          <w:rFonts w:ascii="Calibri" w:cs="Calibri" w:eastAsia="Calibri" w:hAnsi="Calibri"/>
          <w:sz w:val="22"/>
          <w:szCs w:val="22"/>
        </w:rPr>
        <w:t xml:space="preserve">Complaints register</w:t>
      </w:r>
    </w:p>
    <w:p>
      <w:pPr>
        <w:spacing w:after="120"/>
      </w:pPr>
      <w:r>
        <w:rPr>
          <w:rFonts w:ascii="Calibri" w:cs="Calibri" w:eastAsia="Calibri" w:hAnsi="Calibri"/>
          <w:sz w:val="22"/>
          <w:szCs w:val="22"/>
        </w:rPr>
        <w:t xml:space="preserve">Practice Standards this document supports: Feedback and complaints management; Complaints management.</w:t>
      </w:r>
    </w:p>
    <w:p>
      <w:pPr>
        <w:pStyle w:val="Heading1"/>
        <w:spacing w:after="120" w:before="240"/>
      </w:pPr>
      <w:r>
        <w:rPr>
          <w:rFonts w:ascii="Calibri" w:cs="Calibri" w:eastAsia="Calibri" w:hAnsi="Calibri"/>
          <w:b/>
          <w:bCs/>
        </w:rPr>
        <w:t xml:space="preserve">11 Review</w:t>
      </w:r>
    </w:p>
    <w:p>
      <w:pPr>
        <w:spacing w:after="120"/>
      </w:pPr>
      <w:r>
        <w:rPr>
          <w:rFonts w:ascii="Calibri" w:cs="Calibri" w:eastAsia="Calibri" w:hAnsi="Calibri"/>
          <w:sz w:val="22"/>
          <w:szCs w:val="22"/>
        </w:rPr>
        <w:t xml:space="preserve">We review this document every 12 months, after any incident or complaint that shows a gap, and when the Commission changes the rules it supports. Next review: 12 October 2027.</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3000"/>
        <w:gridCol w:w="3000"/>
        <w:gridCol w:w="3000"/>
      </w:tblGrid>
      <w:tr>
        <w:trPr>
          <w:tblHeader/>
        </w:trPr>
        <w:tc>
          <w:tcPr>
            <w:tcW w:type="dxa" w:w="3000"/>
            <w:tcBorders>
              <w:top w:val="single" w:color="999999" w:sz="4"/>
              <w:left w:val="single" w:color="999999" w:sz="4"/>
              <w:bottom w:val="single" w:color="999999" w:sz="4"/>
              <w:right w:val="single" w:color="999999" w:sz="4"/>
            </w:tcBorders>
            <w:shd w:fill="EEEEEE" w:val="clear"/>
          </w:tcPr>
          <w:p>
            <w:r>
              <w:rPr>
                <w:rFonts w:ascii="Calibri" w:cs="Calibri" w:eastAsia="Calibri" w:hAnsi="Calibri"/>
                <w:b/>
                <w:bCs/>
                <w:sz w:val="22"/>
                <w:szCs w:val="22"/>
              </w:rPr>
              <w:t xml:space="preserve">Role</w:t>
            </w:r>
          </w:p>
        </w:tc>
        <w:tc>
          <w:tcPr>
            <w:tcW w:type="dxa" w:w="3000"/>
            <w:tcBorders>
              <w:top w:val="single" w:color="999999" w:sz="4"/>
              <w:left w:val="single" w:color="999999" w:sz="4"/>
              <w:bottom w:val="single" w:color="999999" w:sz="4"/>
              <w:right w:val="single" w:color="999999" w:sz="4"/>
            </w:tcBorders>
            <w:shd w:fill="EEEEEE" w:val="clear"/>
          </w:tcPr>
          <w:p>
            <w:r>
              <w:rPr>
                <w:rFonts w:ascii="Calibri" w:cs="Calibri" w:eastAsia="Calibri" w:hAnsi="Calibri"/>
                <w:b/>
                <w:bCs/>
                <w:sz w:val="22"/>
                <w:szCs w:val="22"/>
              </w:rPr>
              <w:t xml:space="preserve">Does what</w:t>
            </w:r>
          </w:p>
        </w:tc>
        <w:tc>
          <w:tcPr>
            <w:tcW w:type="dxa" w:w="3000"/>
            <w:tcBorders>
              <w:top w:val="single" w:color="999999" w:sz="4"/>
              <w:left w:val="single" w:color="999999" w:sz="4"/>
              <w:bottom w:val="single" w:color="999999" w:sz="4"/>
              <w:right w:val="single" w:color="999999" w:sz="4"/>
            </w:tcBorders>
            <w:shd w:fill="EEEEEE" w:val="clear"/>
          </w:tcPr>
          <w:p>
            <w:r>
              <w:rPr>
                <w:rFonts w:ascii="Calibri" w:cs="Calibri" w:eastAsia="Calibri" w:hAnsi="Calibri"/>
                <w:b/>
                <w:bCs/>
                <w:sz w:val="22"/>
                <w:szCs w:val="22"/>
              </w:rPr>
              <w:t xml:space="preserve">When</w:t>
            </w:r>
          </w:p>
        </w:tc>
      </w:tr>
      <w:tr>
        <w:tc>
          <w:tcPr>
            <w:tcW w:type="dxa" w:w="3000"/>
            <w:tcBorders>
              <w:top w:val="single" w:color="999999" w:sz="4"/>
              <w:left w:val="single" w:color="999999" w:sz="4"/>
              <w:bottom w:val="single" w:color="999999" w:sz="4"/>
              <w:right w:val="single" w:color="999999" w:sz="4"/>
            </w:tcBorders>
          </w:tcPr>
          <w:p>
            <w:r>
              <w:rPr>
                <w:rFonts w:ascii="Calibri" w:cs="Calibri" w:eastAsia="Calibri" w:hAnsi="Calibri"/>
                <w:sz w:val="22"/>
                <w:szCs w:val="22"/>
              </w:rPr>
              <w:t xml:space="preserve">[Provider to complete: owner role]</w:t>
            </w:r>
          </w:p>
        </w:tc>
        <w:tc>
          <w:tcPr>
            <w:tcW w:type="dxa" w:w="3000"/>
            <w:tcBorders>
              <w:top w:val="single" w:color="999999" w:sz="4"/>
              <w:left w:val="single" w:color="999999" w:sz="4"/>
              <w:bottom w:val="single" w:color="999999" w:sz="4"/>
              <w:right w:val="single" w:color="999999" w:sz="4"/>
            </w:tcBorders>
          </w:tcPr>
          <w:p>
            <w:r>
              <w:rPr>
                <w:rFonts w:ascii="Calibri" w:cs="Calibri" w:eastAsia="Calibri" w:hAnsi="Calibri"/>
                <w:sz w:val="22"/>
                <w:szCs w:val="22"/>
              </w:rPr>
              <w:t xml:space="preserve">Reviews and approves this document</w:t>
            </w:r>
          </w:p>
        </w:tc>
        <w:tc>
          <w:tcPr>
            <w:tcW w:type="dxa" w:w="3000"/>
            <w:tcBorders>
              <w:top w:val="single" w:color="999999" w:sz="4"/>
              <w:left w:val="single" w:color="999999" w:sz="4"/>
              <w:bottom w:val="single" w:color="999999" w:sz="4"/>
              <w:right w:val="single" w:color="999999" w:sz="4"/>
            </w:tcBorders>
          </w:tcPr>
          <w:p>
            <w:r>
              <w:rPr>
                <w:rFonts w:ascii="Calibri" w:cs="Calibri" w:eastAsia="Calibri" w:hAnsi="Calibri"/>
                <w:sz w:val="22"/>
                <w:szCs w:val="22"/>
              </w:rPr>
              <w:t xml:space="preserve">Every 12 months</w:t>
            </w:r>
          </w:p>
        </w:tc>
      </w:tr>
      <w:tr>
        <w:tc>
          <w:tcPr>
            <w:tcW w:type="dxa" w:w="3000"/>
            <w:tcBorders>
              <w:top w:val="single" w:color="999999" w:sz="4"/>
              <w:left w:val="single" w:color="999999" w:sz="4"/>
              <w:bottom w:val="single" w:color="999999" w:sz="4"/>
              <w:right w:val="single" w:color="999999" w:sz="4"/>
            </w:tcBorders>
          </w:tcPr>
          <w:p>
            <w:r>
              <w:rPr>
                <w:rFonts w:ascii="Calibri" w:cs="Calibri" w:eastAsia="Calibri" w:hAnsi="Calibri"/>
                <w:sz w:val="22"/>
                <w:szCs w:val="22"/>
              </w:rPr>
              <w:t xml:space="preserve">All workers</w:t>
            </w:r>
          </w:p>
        </w:tc>
        <w:tc>
          <w:tcPr>
            <w:tcW w:type="dxa" w:w="3000"/>
            <w:tcBorders>
              <w:top w:val="single" w:color="999999" w:sz="4"/>
              <w:left w:val="single" w:color="999999" w:sz="4"/>
              <w:bottom w:val="single" w:color="999999" w:sz="4"/>
              <w:right w:val="single" w:color="999999" w:sz="4"/>
            </w:tcBorders>
          </w:tcPr>
          <w:p>
            <w:r>
              <w:rPr>
                <w:rFonts w:ascii="Calibri" w:cs="Calibri" w:eastAsia="Calibri" w:hAnsi="Calibri"/>
                <w:sz w:val="22"/>
                <w:szCs w:val="22"/>
              </w:rPr>
              <w:t xml:space="preserve">Read the current version and follow it</w:t>
            </w:r>
          </w:p>
        </w:tc>
        <w:tc>
          <w:tcPr>
            <w:tcW w:type="dxa" w:w="3000"/>
            <w:tcBorders>
              <w:top w:val="single" w:color="999999" w:sz="4"/>
              <w:left w:val="single" w:color="999999" w:sz="4"/>
              <w:bottom w:val="single" w:color="999999" w:sz="4"/>
              <w:right w:val="single" w:color="999999" w:sz="4"/>
            </w:tcBorders>
          </w:tcPr>
          <w:p>
            <w:r>
              <w:rPr>
                <w:rFonts w:ascii="Calibri" w:cs="Calibri" w:eastAsia="Calibri" w:hAnsi="Calibri"/>
                <w:sz w:val="22"/>
                <w:szCs w:val="22"/>
              </w:rPr>
              <w:t xml:space="preserve">At induction and after each change</w:t>
            </w:r>
          </w:p>
        </w:tc>
      </w:tr>
    </w:tbl>
    <w:p>
      <w:pPr>
        <w:spacing w:after="120"/>
      </w:pPr>
      <w:r>
        <w:rPr>
          <w:rFonts w:ascii="Calibri" w:cs="Calibri" w:eastAsia="Calibri" w:hAnsi="Calibri"/>
          <w:sz w:val="22"/>
          <w:szCs w:val="22"/>
        </w:rPr>
        <w:t xml:space="preserve"/>
      </w:r>
    </w:p>
    <w:p>
      <w:pPr>
        <w:pStyle w:val="Heading1"/>
        <w:spacing w:after="120" w:before="240"/>
      </w:pPr>
      <w:r>
        <w:rPr>
          <w:rFonts w:ascii="Calibri" w:cs="Calibri" w:eastAsia="Calibri" w:hAnsi="Calibri"/>
          <w:b/>
          <w:bCs/>
        </w:rPr>
        <w:t xml:space="preserve">About this document</w:t>
      </w:r>
    </w:p>
    <w:p>
      <w:pPr>
        <w:spacing w:after="120"/>
      </w:pPr>
      <w:r>
        <w:rPr>
          <w:rFonts w:ascii="Calibri" w:cs="Calibri" w:eastAsia="Calibri" w:hAnsi="Calibri"/>
          <w:sz w:val="22"/>
          <w:szCs w:val="22"/>
        </w:rPr>
        <w:t xml:space="preserve">Readyline provides general information and document templates for your own review. It is not legal advice and does not take account of your specific circumstances. Seek legal advice if you are unsure how a requirement applies to you. Readyline is an independent service and is not affiliated with the National Disability Insurance Agency or the NDIS Quality and Safeguards Commission.</w:t>
      </w:r>
    </w:p>
    <w:p>
      <w:pPr>
        <w:spacing w:after="120"/>
      </w:pPr>
      <w:r>
        <w:rPr>
          <w:rFonts w:ascii="Calibri" w:cs="Calibri" w:eastAsia="Calibri" w:hAnsi="Calibri"/>
          <w:sz w:val="22"/>
          <w:szCs w:val="22"/>
        </w:rPr>
        <w:t xml:space="preserve">First drafts of your documents are generated with AI from your questionnaire answers. You are responsible for reviewing, editing and adopting them before use.</w:t>
      </w:r>
    </w:p>
    <w:sectPr>
      <w:headerReference w:type="default" r:id="rId6"/>
      <w:footerReference w:type="default" r:id="rId7"/>
      <w:pgSz w:w="11906" w:h="16838" w:orient="portrait"/>
      <w:pgMar w:top="1440" w:right="1440" w:bottom="1440" w:left="1440"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Calibri" w:cs="Calibri" w:eastAsia="Calibri" w:hAnsi="Calibri"/>
        <w:sz w:val="22"/>
        <w:szCs w:val="22"/>
      </w:rPr>
      <w:t xml:space="preserve">Prepared with Readyline. Version review-pack. Page </w:t>
    </w:r>
    <w:r>
      <w:rPr>
        <w:rFonts w:ascii="Calibri" w:cs="Calibri" w:eastAsia="Calibri" w:hAnsi="Calibri"/>
        <w:sz w:val="22"/>
        <w:szCs w:val="22"/>
      </w:rPr>
      <w:fldChar w:fldCharType="begin"/>
      <w:instrText xml:space="preserve">PAGE</w:instrText>
      <w:fldChar w:fldCharType="separate"/>
      <w:fldChar w:fldCharType="end"/>
    </w:r>
    <w:r>
      <w:rPr>
        <w:rFonts w:ascii="Calibri" w:cs="Calibri" w:eastAsia="Calibri" w:hAnsi="Calibri"/>
        <w:sz w:val="22"/>
        <w:szCs w:val="22"/>
      </w:rPr>
      <w:t xml:space="preserve"> of </w:t>
    </w:r>
    <w:r>
      <w:rPr>
        <w:rFonts w:ascii="Calibri" w:cs="Calibri" w:eastAsia="Calibri" w:hAnsi="Calibri"/>
        <w:sz w:val="22"/>
        <w:szCs w:val="22"/>
      </w:rPr>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rFonts w:ascii="Calibri" w:cs="Calibri" w:eastAsia="Calibri" w:hAnsi="Calibri"/>
        <w:sz w:val="22"/>
        <w:szCs w:val="22"/>
      </w:rPr>
      <w:t xml:space="preserve">Sunrise Supports: Complaints management policy, procedure and register</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abstractNum w:abstractNumId="2" w15:restartNumberingAfterBreak="0">
    <w:multiLevelType w:val="hybridMultilevel"/>
    <w:lvl w:ilvl="0" w:tentative="1">
      <w:start w:val="1"/>
      <w:numFmt w:val="bullet"/>
      <w:lvlText w:val="•"/>
      <w:lvlJc w:val="left"/>
      <w:pPr>
        <w:ind w:left="720" w:hanging="360"/>
      </w:pPr>
    </w:lvl>
  </w:abstractNum>
  <w:abstractNum w:abstractNumId="3" w15:restartNumberingAfterBreak="0">
    <w:multiLevelType w:val="hybridMultilevel"/>
    <w:lvl w:ilvl="0" w:tentative="1">
      <w:start w:val="1"/>
      <w:numFmt w:val="decimal"/>
      <w:lvlText w:val="%1."/>
      <w:lvlJc w:val="left"/>
      <w:pPr>
        <w:ind w:left="720" w:hanging="360"/>
      </w:pPr>
    </w:lvl>
  </w:abstractNum>
  <w:abstractNum w:abstractNumId="4" w15:restartNumberingAfterBreak="0">
    <w:multiLevelType w:val="hybridMultilevel"/>
    <w:lvl w:ilvl="0" w:tentative="1">
      <w:start w:val="1"/>
      <w:numFmt w:val="decimal"/>
      <w:lvlText w:val="%1."/>
      <w:lvlJc w:val="left"/>
      <w:pPr>
        <w:ind w:left="720" w:hanging="360"/>
      </w:pPr>
    </w:lvl>
  </w:abstractNum>
  <w:abstractNum w:abstractNumId="5" w15:restartNumberingAfterBreak="0">
    <w:multiLevelType w:val="hybridMultilevel"/>
    <w:lvl w:ilvl="0" w:tentative="1">
      <w:start w:val="1"/>
      <w:numFmt w:val="decimal"/>
      <w:lvlText w:val="%1."/>
      <w:lvlJc w:val="left"/>
      <w:pPr>
        <w:ind w:left="720" w:hanging="360"/>
      </w:pPr>
    </w:lvl>
  </w:abstractNum>
  <w:abstractNum w:abstractNumId="6" w15:restartNumberingAfterBreak="0">
    <w:multiLevelType w:val="hybridMultilevel"/>
    <w:lvl w:ilvl="0" w:tentative="1">
      <w:start w:val="1"/>
      <w:numFmt w:val="decimal"/>
      <w:lvlText w:val="%1."/>
      <w:lvlJc w:val="left"/>
      <w:pPr>
        <w:ind w:left="720" w:hanging="360"/>
      </w:pPr>
    </w:lvl>
  </w:abstractNum>
  <w:abstractNum w:abstractNumId="7" w15:restartNumberingAfterBreak="0">
    <w:multiLevelType w:val="hybridMultilevel"/>
    <w:lvl w:ilvl="0" w:tentative="1">
      <w:start w:val="1"/>
      <w:numFmt w:val="decimal"/>
      <w:lvlText w:val="%1."/>
      <w:lvlJc w:val="left"/>
      <w:pPr>
        <w:ind w:left="720" w:hanging="360"/>
      </w:pPr>
    </w:lvl>
  </w:abstractNum>
  <w:abstractNum w:abstractNumId="8" w15:restartNumberingAfterBreak="0">
    <w:multiLevelType w:val="hybridMultilevel"/>
    <w:lvl w:ilvl="0" w:tentative="1">
      <w:start w:val="1"/>
      <w:numFmt w:val="decimal"/>
      <w:lvlText w:val="%1."/>
      <w:lvlJc w:val="left"/>
      <w:pPr>
        <w:ind w:left="720" w:hanging="360"/>
      </w:pPr>
    </w:lvl>
  </w:abstractNum>
  <w:abstractNum w:abstractNumId="9" w15:restartNumberingAfterBreak="0">
    <w:multiLevelType w:val="hybridMultilevel"/>
    <w:lvl w:ilvl="0" w:tentative="1">
      <w:start w:val="1"/>
      <w:numFmt w:val="decimal"/>
      <w:lvlText w:val="%1."/>
      <w:lvlJc w:val="left"/>
      <w:pPr>
        <w:ind w:left="720" w:hanging="360"/>
      </w:pPr>
    </w:lvl>
  </w:abstractNum>
  <w:abstractNum w:abstractNumId="10" w15:restartNumberingAfterBreak="0">
    <w:multiLevelType w:val="hybridMultilevel"/>
    <w:lvl w:ilvl="0" w:tentative="1">
      <w:start w:val="1"/>
      <w:numFmt w:val="decimal"/>
      <w:lvlText w:val="%1."/>
      <w:lvlJc w:val="left"/>
      <w:pPr>
        <w:ind w:left="720" w:hanging="360"/>
      </w:pPr>
    </w:lvl>
  </w:abstractNum>
  <w:abstractNum w:abstractNumId="11" w15:restartNumberingAfterBreak="0">
    <w:multiLevelType w:val="hybridMultilevel"/>
    <w:lvl w:ilvl="0" w:tentative="1">
      <w:start w:val="1"/>
      <w:numFmt w:val="decimal"/>
      <w:lvlText w:val="%1."/>
      <w:lvlJc w:val="left"/>
      <w:pPr>
        <w:ind w:left="720" w:hanging="360"/>
      </w:pPr>
    </w:lvl>
  </w:abstractNum>
  <w:abstractNum w:abstractNumId="12" w15:restartNumberingAfterBreak="0">
    <w:multiLevelType w:val="hybridMultilevel"/>
    <w:lvl w:ilvl="0" w:tentative="1">
      <w:start w:val="1"/>
      <w:numFmt w:val="decimal"/>
      <w:lvlText w:val="%1."/>
      <w:lvlJc w:val="left"/>
      <w:pPr>
        <w:ind w:left="720" w:hanging="360"/>
      </w:pPr>
    </w:lvl>
  </w:abstractNum>
  <w:abstractNum w:abstractNumId="13" w15:restartNumberingAfterBreak="0">
    <w:multiLevelType w:val="hybridMultilevel"/>
    <w:lvl w:ilvl="0" w:tentative="1">
      <w:start w:val="1"/>
      <w:numFmt w:val="decimal"/>
      <w:lvlText w:val="%1."/>
      <w:lvlJc w:val="left"/>
      <w:pPr>
        <w:ind w:left="720" w:hanging="360"/>
      </w:pPr>
    </w:lvl>
  </w:abstractNum>
  <w:abstractNum w:abstractNumId="14" w15:restartNumberingAfterBreak="0">
    <w:multiLevelType w:val="hybridMultilevel"/>
    <w:lvl w:ilvl="0" w:tentative="1">
      <w:start w:val="1"/>
      <w:numFmt w:val="decimal"/>
      <w:lvlText w:val="%1."/>
      <w:lvlJc w:val="left"/>
      <w:pPr>
        <w:ind w:left="720" w:hanging="360"/>
      </w:pPr>
    </w:lvl>
  </w:abstractNum>
  <w:abstractNum w:abstractNumId="15" w15:restartNumberingAfterBreak="0">
    <w:multiLevelType w:val="hybridMultilevel"/>
    <w:lvl w:ilvl="0" w:tentative="1">
      <w:start w:val="1"/>
      <w:numFmt w:val="decimal"/>
      <w:lvlText w:val="%1."/>
      <w:lvlJc w:val="left"/>
      <w:pPr>
        <w:ind w:left="720" w:hanging="36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2"/>
        <w:szCs w:val="22"/>
      </w:rPr>
    </w:rPrDefault>
    <w:pPrDefault/>
  </w:docDefaults>
  <w:style w:type="paragraph" w:styleId="Normal" w:default="1">
    <w:name w:val="Normal"/>
    <w:qFormat/>
  </w:style>
  <w:style w:type="table" w:styleId="TableNormal" w:default="true">
    <w:name w:val="Normal Table"/>
    <w:uiPriority w:val="99"/>
    <w:semiHidden/>
    <w:unhideWhenUsed/>
    <w:tblPr>
      <w:tblInd w:type="dxa" w:w="0"/>
      <w:tblCellMar>
        <w:top w:type="dxa" w:w="0"/>
        <w:left w:type="dxa" w:w="108"/>
        <w:bottom w:type="dxa" w:w="0"/>
        <w:right w:type="dxa" w:w="108"/>
      </w:tblCellMar>
    </w:tblPr>
  </w:style>
  <w:style w:type="paragraph" w:styleId="Title">
    <w:name w:val="Title"/>
    <w:basedOn w:val="Normal"/>
    <w:next w:val="Normal"/>
    <w:qFormat/>
    <w:rPr>
      <w:rFonts w:ascii="Calibri" w:cs="Calibri" w:eastAsia="Calibri" w:hAnsi="Calibri"/>
      <w:b/>
      <w:bCs/>
      <w:color w:val="000000"/>
      <w:sz w:val="40"/>
      <w:szCs w:val="40"/>
    </w:rPr>
  </w:style>
  <w:style w:type="paragraph" w:styleId="Heading1">
    <w:name w:val="Heading 1"/>
    <w:basedOn w:val="Normal"/>
    <w:next w:val="Normal"/>
    <w:qFormat/>
    <w:rPr>
      <w:rFonts w:ascii="Calibri" w:cs="Calibri" w:eastAsia="Calibri" w:hAnsi="Calibri"/>
      <w:b/>
      <w:bCs/>
      <w:color w:val="000000"/>
      <w:sz w:val="28"/>
      <w:szCs w:val="28"/>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header" Target="header1.xml"/><Relationship Id="rId7" Type="http://schemas.openxmlformats.org/officeDocument/2006/relationships/footer" Target="footer1.xml"/><Relationship Id="rId8" Type="http://schemas.openxmlformats.org/officeDocument/2006/relationships/theme" Target="theme/theme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Complaints management policy, procedure and register</dc:title>
  <dc:creator>Prepared with Readyline</dc:creator>
  <dc:description>Complaints management policy, procedure and register for Sunrise Supports</dc:description>
  <cp:lastModifiedBy>Un-named</cp:lastModifiedBy>
  <cp:revision>1</cp:revision>
  <dcterms:created xsi:type="dcterms:W3CDTF">2026-10-12T00:15:18.959Z</dcterms:created>
  <dcterms:modified xsi:type="dcterms:W3CDTF">2026-10-12T00:15:18.959Z</dcterms:modified>
</cp:coreProperties>
</file>

<file path=docProps/custom.xml><?xml version="1.0" encoding="utf-8"?>
<Properties xmlns="http://schemas.openxmlformats.org/officeDocument/2006/custom-properties" xmlns:vt="http://schemas.openxmlformats.org/officeDocument/2006/docPropsVTypes"/>
</file>