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manages, records and reports incidents. It supports the Incident management standard in the NDIS Practice Standards.</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Sunrise Supports, a sole trader business. It applies to every support we deliver and to every participant we support.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it applies to us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deliver household tasks (support type 0120). The policy applies to all of this work, including time spent travelling to and from a participant's home.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work in New South Wales. We follow the rules that apply in that state as well as the NDIS rules.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a sole provider. The person who runs Sunrise Supports is also the person who delivers the supports and holds the key personnel role.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key personnel role. That person is responsible for managing incidents under this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Restrictive practices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use restrictive practices. If we ever think one is needed, we stop and follow the Commission's requirements before doing anything.</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The policy covers any incident that happens while we deliver supports, or that is connected to our supports. This includes incidents that involve a participant, a worker, a member of the public or the participant's property.</w:t>
      </w:r>
    </w:p>
    <w:p>
      <w:pPr>
        <w:spacing w:after="120"/>
      </w:pPr>
      <w:r>
        <w:rPr>
          <w:rFonts w:ascii="Calibri" w:cs="Calibri" w:eastAsia="Calibri" w:hAnsi="Calibri"/>
          <w:sz w:val="22"/>
          <w:szCs w:val="22"/>
        </w:rPr>
        <w:t xml:space="preserve">It also covers any person who works for us in future, whether paid or unpaid. If we take on another worker, we will update this policy and train that worker before they start.</w:t>
      </w:r>
    </w:p>
    <w:p>
      <w:pPr>
        <w:spacing w:after="120"/>
      </w:pPr>
      <w:r>
        <w:rPr>
          <w:rFonts w:ascii="Calibri" w:cs="Calibri" w:eastAsia="Calibri" w:hAnsi="Calibri"/>
          <w:sz w:val="22"/>
          <w:szCs w:val="22"/>
        </w:rPr>
        <w:t xml:space="preserve">Some roles carry higher risk, so we assess them before anyone starts. This policy applies to those roles in the same way as to all others.</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committed to keeping every participant safe. We keep an incident management system that is right for the size of our business and the supports we deliver. This supports the Incident management standard, quality indicator 1.</w:t>
      </w:r>
    </w:p>
    <w:p>
      <w:pPr>
        <w:spacing w:after="120"/>
      </w:pPr>
      <w:r>
        <w:rPr>
          <w:rFonts w:ascii="Calibri" w:cs="Calibri" w:eastAsia="Calibri" w:hAnsi="Calibri"/>
          <w:sz w:val="22"/>
          <w:szCs w:val="22"/>
        </w:rPr>
        <w:t xml:space="preserve">We deliver household tasks (0120) as a sole trader in New South Wales. Our system is kept simple and proportionate to this scope. It still meets the National Disability Insurance Scheme (Incident Management and Reportable Incidents) Rules 2018.</w:t>
      </w:r>
    </w:p>
    <w:p>
      <w:pPr>
        <w:pStyle w:val="ListParagraph"/>
        <w:numPr>
          <w:ilvl w:val="0"/>
          <w:numId w:val="2"/>
        </w:numPr>
        <w:spacing w:after="60"/>
      </w:pPr>
      <w:r>
        <w:rPr>
          <w:rFonts w:ascii="Calibri" w:cs="Calibri" w:eastAsia="Calibri" w:hAnsi="Calibri"/>
          <w:sz w:val="22"/>
          <w:szCs w:val="22"/>
        </w:rPr>
        <w:t xml:space="preserve">We acknowledge every incident and respond to it straight away, so that the participant is safe first.</w:t>
      </w:r>
    </w:p>
    <w:p>
      <w:pPr>
        <w:pStyle w:val="ListParagraph"/>
        <w:numPr>
          <w:ilvl w:val="0"/>
          <w:numId w:val="2"/>
        </w:numPr>
        <w:spacing w:after="60"/>
      </w:pPr>
      <w:r>
        <w:rPr>
          <w:rFonts w:ascii="Calibri" w:cs="Calibri" w:eastAsia="Calibri" w:hAnsi="Calibri"/>
          <w:sz w:val="22"/>
          <w:szCs w:val="22"/>
        </w:rPr>
        <w:t xml:space="preserve">We record every incident in our incident register, whatever its size.</w:t>
      </w:r>
    </w:p>
    <w:p>
      <w:pPr>
        <w:pStyle w:val="ListParagraph"/>
        <w:numPr>
          <w:ilvl w:val="0"/>
          <w:numId w:val="2"/>
        </w:numPr>
        <w:spacing w:after="60"/>
      </w:pPr>
      <w:r>
        <w:rPr>
          <w:rFonts w:ascii="Calibri" w:cs="Calibri" w:eastAsia="Calibri" w:hAnsi="Calibri"/>
          <w:sz w:val="22"/>
          <w:szCs w:val="22"/>
        </w:rPr>
        <w:t xml:space="preserve">We look into each incident to find out what happened and why, and we learn from it.</w:t>
      </w:r>
    </w:p>
    <w:p>
      <w:pPr>
        <w:pStyle w:val="ListParagraph"/>
        <w:numPr>
          <w:ilvl w:val="0"/>
          <w:numId w:val="2"/>
        </w:numPr>
        <w:spacing w:after="60"/>
      </w:pPr>
      <w:r>
        <w:rPr>
          <w:rFonts w:ascii="Calibri" w:cs="Calibri" w:eastAsia="Calibri" w:hAnsi="Calibri"/>
          <w:sz w:val="22"/>
          <w:szCs w:val="22"/>
        </w:rPr>
        <w:t xml:space="preserve">We report reportable incidents to the Commission within the timeframes the Rules set. See section 7 Reportable incidents.</w:t>
      </w:r>
    </w:p>
    <w:p>
      <w:pPr>
        <w:pStyle w:val="ListParagraph"/>
        <w:numPr>
          <w:ilvl w:val="0"/>
          <w:numId w:val="2"/>
        </w:numPr>
        <w:spacing w:after="60"/>
      </w:pPr>
      <w:r>
        <w:rPr>
          <w:rFonts w:ascii="Calibri" w:cs="Calibri" w:eastAsia="Calibri" w:hAnsi="Calibri"/>
          <w:sz w:val="22"/>
          <w:szCs w:val="22"/>
        </w:rPr>
        <w:t xml:space="preserve">We do not use restrictive practices. If one is ever used or suspected, we treat it as an incident and record it.</w:t>
      </w:r>
    </w:p>
    <w:p>
      <w:pPr>
        <w:pStyle w:val="ListParagraph"/>
        <w:numPr>
          <w:ilvl w:val="0"/>
          <w:numId w:val="2"/>
        </w:numPr>
        <w:spacing w:after="60"/>
      </w:pPr>
      <w:r>
        <w:rPr>
          <w:rFonts w:ascii="Calibri" w:cs="Calibri" w:eastAsia="Calibri" w:hAnsi="Calibri"/>
          <w:sz w:val="22"/>
          <w:szCs w:val="22"/>
        </w:rPr>
        <w:t xml:space="preserve">We keep the incident register up to date and keep the incident records described in section 10 Records and evidence to retain.</w:t>
      </w:r>
    </w:p>
    <w:p>
      <w:pPr>
        <w:spacing w:after="120"/>
      </w:pPr>
      <w:r>
        <w:rPr>
          <w:rFonts w:ascii="Calibri" w:cs="Calibri" w:eastAsia="Calibri" w:hAnsi="Calibri"/>
          <w:sz w:val="22"/>
          <w:szCs w:val="22"/>
        </w:rPr>
        <w:t xml:space="preserve">We review this policy every 12 months and the incident register every 3 months. See section 12 Review.</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a sole trader in New South Wales. We provide household tasks support (0120). This section sets out the steps we follow to prevent, respond to, record, investigate and report incidents. We keep these steps simple and in proportion to the size of our business.</w:t>
      </w:r>
    </w:p>
    <w:p>
      <w:pPr>
        <w:pStyle w:val="ListParagraph"/>
        <w:numPr>
          <w:ilvl w:val="0"/>
          <w:numId w:val="3"/>
        </w:numPr>
        <w:spacing w:after="60"/>
      </w:pPr>
      <w:r>
        <w:rPr>
          <w:rFonts w:ascii="Calibri" w:cs="Calibri" w:eastAsia="Calibri" w:hAnsi="Calibri"/>
          <w:sz w:val="22"/>
          <w:szCs w:val="22"/>
        </w:rPr>
        <w:t xml:space="preserve">Prevent. Before we start with a new participant, we talk with them about their home, their routines and anything that could put them at risk. We note any risks and the steps we take to reduce them. We review these notes when something changes.</w:t>
      </w:r>
    </w:p>
    <w:p>
      <w:pPr>
        <w:pStyle w:val="ListParagraph"/>
        <w:numPr>
          <w:ilvl w:val="0"/>
          <w:numId w:val="3"/>
        </w:numPr>
        <w:spacing w:after="60"/>
      </w:pPr>
      <w:r>
        <w:rPr>
          <w:rFonts w:ascii="Calibri" w:cs="Calibri" w:eastAsia="Calibri" w:hAnsi="Calibri"/>
          <w:sz w:val="22"/>
          <w:szCs w:val="22"/>
        </w:rPr>
        <w:t xml:space="preserve">Respond. If something happens, we make sure the participant is safe first. We call emergency services on 000 when there is immediate danger or someone needs urgent medical help. We stay with the participant until they are safe.</w:t>
      </w:r>
    </w:p>
    <w:p>
      <w:pPr>
        <w:pStyle w:val="ListParagraph"/>
        <w:numPr>
          <w:ilvl w:val="0"/>
          <w:numId w:val="3"/>
        </w:numPr>
        <w:spacing w:after="60"/>
      </w:pPr>
      <w:r>
        <w:rPr>
          <w:rFonts w:ascii="Calibri" w:cs="Calibri" w:eastAsia="Calibri" w:hAnsi="Calibri"/>
          <w:sz w:val="22"/>
          <w:szCs w:val="22"/>
        </w:rPr>
        <w:t xml:space="preserve">Tell the right people. We tell the participant and, with their agreement, their family, guardian or nominee. We also tell the NDIS plan manager or support coordinator when they need to know.</w:t>
      </w:r>
    </w:p>
    <w:p>
      <w:pPr>
        <w:pStyle w:val="ListParagraph"/>
        <w:numPr>
          <w:ilvl w:val="0"/>
          <w:numId w:val="3"/>
        </w:numPr>
        <w:spacing w:after="60"/>
      </w:pPr>
      <w:r>
        <w:rPr>
          <w:rFonts w:ascii="Calibri" w:cs="Calibri" w:eastAsia="Calibri" w:hAnsi="Calibri"/>
          <w:sz w:val="22"/>
          <w:szCs w:val="22"/>
        </w:rPr>
        <w:t xml:space="preserve">Decide if it is reportable. We check what happened against section 7 Reportable incidents. That section holds the definitions, the list of reportable incidents and the timeframes. We do not rely on memory for these.</w:t>
      </w:r>
    </w:p>
    <w:p>
      <w:pPr>
        <w:pStyle w:val="ListParagraph"/>
        <w:numPr>
          <w:ilvl w:val="0"/>
          <w:numId w:val="3"/>
        </w:numPr>
        <w:spacing w:after="60"/>
      </w:pPr>
      <w:r>
        <w:rPr>
          <w:rFonts w:ascii="Calibri" w:cs="Calibri" w:eastAsia="Calibri" w:hAnsi="Calibri"/>
          <w:sz w:val="22"/>
          <w:szCs w:val="22"/>
        </w:rPr>
        <w:t xml:space="preserve">Report. If the incident is reportable, we report it to the Commission as set out in section 7 Reportable incidents and keep a copy of what we send. If we are unsure, we treat it as reportable and report it.</w:t>
      </w:r>
    </w:p>
    <w:p>
      <w:pPr>
        <w:pStyle w:val="ListParagraph"/>
        <w:numPr>
          <w:ilvl w:val="0"/>
          <w:numId w:val="3"/>
        </w:numPr>
        <w:spacing w:after="60"/>
      </w:pPr>
      <w:r>
        <w:rPr>
          <w:rFonts w:ascii="Calibri" w:cs="Calibri" w:eastAsia="Calibri" w:hAnsi="Calibri"/>
          <w:sz w:val="22"/>
          <w:szCs w:val="22"/>
        </w:rPr>
        <w:t xml:space="preserve">Record. We write the incident in our incident register on the day it happens, or as soon as we are able. We record the facts only: what happened, when, who was involved, what we did and who we told. We do not guess about causes at this stage.</w:t>
      </w:r>
    </w:p>
    <w:p>
      <w:pPr>
        <w:pStyle w:val="ListParagraph"/>
        <w:numPr>
          <w:ilvl w:val="0"/>
          <w:numId w:val="3"/>
        </w:numPr>
        <w:spacing w:after="60"/>
      </w:pPr>
      <w:r>
        <w:rPr>
          <w:rFonts w:ascii="Calibri" w:cs="Calibri" w:eastAsia="Calibri" w:hAnsi="Calibri"/>
          <w:sz w:val="22"/>
          <w:szCs w:val="22"/>
        </w:rPr>
        <w:t xml:space="preserve">Investigate. We look at what led to the incident and what we could change. This is a short review of the facts, the participant's views and our own actions. We take care that the participant is not blamed.</w:t>
      </w:r>
    </w:p>
    <w:p>
      <w:pPr>
        <w:pStyle w:val="ListParagraph"/>
        <w:numPr>
          <w:ilvl w:val="0"/>
          <w:numId w:val="3"/>
        </w:numPr>
        <w:spacing w:after="60"/>
      </w:pPr>
      <w:r>
        <w:rPr>
          <w:rFonts w:ascii="Calibri" w:cs="Calibri" w:eastAsia="Calibri" w:hAnsi="Calibri"/>
          <w:sz w:val="22"/>
          <w:szCs w:val="22"/>
        </w:rPr>
        <w:t xml:space="preserve">Learn and change. We write down what we will change, such as a new routine, a different way of doing a task or more training for ourselves. We carry out the change and note the date in the register.</w:t>
      </w:r>
    </w:p>
    <w:p>
      <w:pPr>
        <w:pStyle w:val="ListParagraph"/>
        <w:numPr>
          <w:ilvl w:val="0"/>
          <w:numId w:val="3"/>
        </w:numPr>
        <w:spacing w:after="60"/>
      </w:pPr>
      <w:r>
        <w:rPr>
          <w:rFonts w:ascii="Calibri" w:cs="Calibri" w:eastAsia="Calibri" w:hAnsi="Calibri"/>
          <w:sz w:val="22"/>
          <w:szCs w:val="22"/>
        </w:rPr>
        <w:t xml:space="preserve">Close the incident. We close the entry when the participant is safe, the required reports are made and the changes are done. We tell the participant what we have done in a way they can understand.</w:t>
      </w:r>
    </w:p>
    <w:p>
      <w:pPr>
        <w:pStyle w:val="ListParagraph"/>
        <w:numPr>
          <w:ilvl w:val="0"/>
          <w:numId w:val="3"/>
        </w:numPr>
        <w:spacing w:after="60"/>
      </w:pPr>
      <w:r>
        <w:rPr>
          <w:rFonts w:ascii="Calibri" w:cs="Calibri" w:eastAsia="Calibri" w:hAnsi="Calibri"/>
          <w:sz w:val="22"/>
          <w:szCs w:val="22"/>
        </w:rPr>
        <w:t xml:space="preserve">Review. We review this policy every 12 months. We review the incident register every 3 months to look for patterns and to check that every entry is closed or has a next step.</w:t>
      </w:r>
    </w:p>
    <w:p>
      <w:pPr>
        <w:spacing w:after="120"/>
      </w:pPr>
      <w:r>
        <w:rPr>
          <w:rFonts w:ascii="Calibri" w:cs="Calibri" w:eastAsia="Calibri" w:hAnsi="Calibri"/>
          <w:sz w:val="22"/>
          <w:szCs w:val="22"/>
        </w:rPr>
        <w:t xml:space="preserve">Because we work alone, one person carries out every step above. If we are unwell or unable to act, we ask the participant's chosen contact or the NDIS Commission for guidance on the next step. The register itself is described in section 9 Incident register, and the person responsible for each step is set out in section 6 Responsibilities.</w:t>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There are no other workers. That person holds every role in this policy, so the same person does each task below. If we ever add workers, we will update this table and give each task to a named role.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to the incident, keeps the participant safe and gets help if needed. See section 8 Incident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an incident happens or we learn of 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whether the incident is reportable and reports it to the Commission. See section 7 Reportable incidents for what counts and the timeframes.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we know about the incident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every incident in the incident register, with what happened, what we did and what we learned. See section 9 Incident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time an incident happens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Looks into the cause, makes changes to stop it happening again and checks the changes worked.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incident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and repeat incidents.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one is ever used with a participant, we treat it as an incident and follow section 7 Reportable incidents.</w:t>
      </w:r>
    </w:p>
    <w:p>
      <w:pPr>
        <w:spacing w:after="120"/>
      </w:pPr>
      <w:r>
        <w:rPr>
          <w:rFonts w:ascii="Calibri" w:cs="Calibri" w:eastAsia="Calibri" w:hAnsi="Calibri"/>
          <w:sz w:val="22"/>
          <w:szCs w:val="22"/>
        </w:rPr>
        <w:t xml:space="preserve">Because one person holds every role, we ask someone we trust, such as a peer or another provider, to look over our incident records at each 3-month register review. This gives us a second view on what we may have missed. [Provider to complete: name of the person who will give this second view, if any.]</w:t>
      </w:r>
    </w:p>
    <w:p>
      <w:pPr>
        <w:pStyle w:val="Heading1"/>
        <w:spacing w:after="120" w:before="240"/>
      </w:pPr>
      <w:r>
        <w:rPr>
          <w:rFonts w:ascii="Calibri" w:cs="Calibri" w:eastAsia="Calibri" w:hAnsi="Calibri"/>
          <w:b/>
          <w:bCs/>
        </w:rPr>
        <w:t xml:space="preserve">7 Reportable incidents</w:t>
      </w:r>
    </w:p>
    <w:p>
      <w:pPr>
        <w:spacing w:after="120"/>
      </w:pPr>
      <w:r>
        <w:rPr>
          <w:rFonts w:ascii="Calibri" w:cs="Calibri" w:eastAsia="Calibri" w:hAnsi="Calibri"/>
          <w:sz w:val="22"/>
          <w:szCs w:val="22"/>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pPr>
      <w:r>
        <w:rPr>
          <w:rFonts w:ascii="Calibri" w:cs="Calibri" w:eastAsia="Calibri" w:hAnsi="Calibri"/>
          <w:sz w:val="22"/>
          <w:szCs w:val="22"/>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8 Incident procedure</w:t>
      </w:r>
    </w:p>
    <w:p>
      <w:pPr>
        <w:spacing w:after="120"/>
      </w:pPr>
      <w:r>
        <w:rPr>
          <w:rFonts w:ascii="Calibri" w:cs="Calibri" w:eastAsia="Calibri" w:hAnsi="Calibri"/>
          <w:sz w:val="22"/>
          <w:szCs w:val="22"/>
        </w:rPr>
        <w:t xml:space="preserve">Sunrise Supports is run by one person, who delivers household tasks support to participants in New South Wales. This procedure is sized to match. The owner carries out every step, and each step is written down in the incident register.</w:t>
      </w:r>
    </w:p>
    <w:p>
      <w:pPr>
        <w:pStyle w:val="ListParagraph"/>
        <w:numPr>
          <w:ilvl w:val="0"/>
          <w:numId w:val="4"/>
        </w:numPr>
        <w:spacing w:after="60"/>
      </w:pPr>
      <w:r>
        <w:rPr>
          <w:rFonts w:ascii="Calibri" w:cs="Calibri" w:eastAsia="Calibri" w:hAnsi="Calibri"/>
          <w:sz w:val="22"/>
          <w:szCs w:val="22"/>
        </w:rPr>
        <w:t xml:space="preserve">Make everyone safe. Stop what we are doing if it is not safe to continue. Check the participant and anyone else nearby. Call 000 if anyone needs urgent medical help or is in danger.</w:t>
      </w:r>
    </w:p>
    <w:p>
      <w:pPr>
        <w:pStyle w:val="ListParagraph"/>
        <w:numPr>
          <w:ilvl w:val="0"/>
          <w:numId w:val="4"/>
        </w:numPr>
        <w:spacing w:after="60"/>
      </w:pPr>
      <w:r>
        <w:rPr>
          <w:rFonts w:ascii="Calibri" w:cs="Calibri" w:eastAsia="Calibri" w:hAnsi="Calibri"/>
          <w:sz w:val="22"/>
          <w:szCs w:val="22"/>
        </w:rPr>
        <w:t xml:space="preserve">Tell the right people. Tell the participant's nominated contact or family member as soon as it is safe to do so, if the participant agrees. Tell the NDIS Quality and Safeguards Commission's contact point for a reportable incident, as set out in section 7 Reportable incidents.</w:t>
      </w:r>
    </w:p>
    <w:p>
      <w:pPr>
        <w:pStyle w:val="ListParagraph"/>
        <w:numPr>
          <w:ilvl w:val="0"/>
          <w:numId w:val="4"/>
        </w:numPr>
        <w:spacing w:after="60"/>
      </w:pPr>
      <w:r>
        <w:rPr>
          <w:rFonts w:ascii="Calibri" w:cs="Calibri" w:eastAsia="Calibri" w:hAnsi="Calibri"/>
          <w:sz w:val="22"/>
          <w:szCs w:val="22"/>
        </w:rPr>
        <w:t xml:space="preserve">Write down the facts the same day. Record what happened, when and where, who was involved, what we did and what we saw. Keep to facts. Do not guess at causes or blame anyone.</w:t>
      </w:r>
    </w:p>
    <w:p>
      <w:pPr>
        <w:pStyle w:val="ListParagraph"/>
        <w:numPr>
          <w:ilvl w:val="0"/>
          <w:numId w:val="4"/>
        </w:numPr>
        <w:spacing w:after="60"/>
      </w:pPr>
      <w:r>
        <w:rPr>
          <w:rFonts w:ascii="Calibri" w:cs="Calibri" w:eastAsia="Calibri" w:hAnsi="Calibri"/>
          <w:sz w:val="22"/>
          <w:szCs w:val="22"/>
        </w:rPr>
        <w:t xml:space="preserve">Enter the incident in the register. Add it to the register described in section 9 Incident register. Give it a reference number and note the date we first knew about it.</w:t>
      </w:r>
    </w:p>
    <w:p>
      <w:pPr>
        <w:pStyle w:val="ListParagraph"/>
        <w:numPr>
          <w:ilvl w:val="0"/>
          <w:numId w:val="4"/>
        </w:numPr>
        <w:spacing w:after="60"/>
      </w:pPr>
      <w:r>
        <w:rPr>
          <w:rFonts w:ascii="Calibri" w:cs="Calibri" w:eastAsia="Calibri" w:hAnsi="Calibri"/>
          <w:sz w:val="22"/>
          <w:szCs w:val="22"/>
        </w:rPr>
        <w:t xml:space="preserve">Decide if it is reportable. Check what happened against section 7 Reportable incidents. If it could be reportable, treat it as reportable until we have confirmed otherwise. Write down the decision and the reason for it in the register.</w:t>
      </w:r>
    </w:p>
    <w:p>
      <w:pPr>
        <w:pStyle w:val="ListParagraph"/>
        <w:numPr>
          <w:ilvl w:val="0"/>
          <w:numId w:val="4"/>
        </w:numPr>
        <w:spacing w:after="60"/>
      </w:pPr>
      <w:r>
        <w:rPr>
          <w:rFonts w:ascii="Calibri" w:cs="Calibri" w:eastAsia="Calibri" w:hAnsi="Calibri"/>
          <w:sz w:val="22"/>
          <w:szCs w:val="22"/>
        </w:rPr>
        <w:t xml:space="preserve">Support the participant. Ask the participant what they need after the incident. Offer to arrange support or an advocate if they want one. Explain what we will do next in plain words, in the way the participant understands best.</w:t>
      </w:r>
    </w:p>
    <w:p>
      <w:pPr>
        <w:pStyle w:val="ListParagraph"/>
        <w:numPr>
          <w:ilvl w:val="0"/>
          <w:numId w:val="4"/>
        </w:numPr>
        <w:spacing w:after="60"/>
      </w:pPr>
      <w:r>
        <w:rPr>
          <w:rFonts w:ascii="Calibri" w:cs="Calibri" w:eastAsia="Calibri" w:hAnsi="Calibri"/>
          <w:sz w:val="22"/>
          <w:szCs w:val="22"/>
        </w:rPr>
        <w:t xml:space="preserve">Look into what happened. Find out what led to the incident and what could have stopped it. Look at the task, the home, the equipment and our own actions. Write down what we found.</w:t>
      </w:r>
    </w:p>
    <w:p>
      <w:pPr>
        <w:pStyle w:val="ListParagraph"/>
        <w:numPr>
          <w:ilvl w:val="0"/>
          <w:numId w:val="4"/>
        </w:numPr>
        <w:spacing w:after="60"/>
      </w:pPr>
      <w:r>
        <w:rPr>
          <w:rFonts w:ascii="Calibri" w:cs="Calibri" w:eastAsia="Calibri" w:hAnsi="Calibri"/>
          <w:sz w:val="22"/>
          <w:szCs w:val="22"/>
        </w:rPr>
        <w:t xml:space="preserve">Fix the cause. Decide what we will change, such as how we do a task, what we check before starting, or what we tell the participant. Set a date for each action and mark it done in the register when it is finished.</w:t>
      </w:r>
    </w:p>
    <w:p>
      <w:pPr>
        <w:pStyle w:val="ListParagraph"/>
        <w:numPr>
          <w:ilvl w:val="0"/>
          <w:numId w:val="4"/>
        </w:numPr>
        <w:spacing w:after="60"/>
      </w:pPr>
      <w:r>
        <w:rPr>
          <w:rFonts w:ascii="Calibri" w:cs="Calibri" w:eastAsia="Calibri" w:hAnsi="Calibri"/>
          <w:sz w:val="22"/>
          <w:szCs w:val="22"/>
        </w:rPr>
        <w:t xml:space="preserve">Close the incident. Close it only when the participant has been told the outcome, all actions are done and any report to the Commission has been made. Record the closing date.</w:t>
      </w:r>
    </w:p>
    <w:p>
      <w:pPr>
        <w:pStyle w:val="ListParagraph"/>
        <w:numPr>
          <w:ilvl w:val="0"/>
          <w:numId w:val="4"/>
        </w:numPr>
        <w:spacing w:after="60"/>
      </w:pPr>
      <w:r>
        <w:rPr>
          <w:rFonts w:ascii="Calibri" w:cs="Calibri" w:eastAsia="Calibri" w:hAnsi="Calibri"/>
          <w:sz w:val="22"/>
          <w:szCs w:val="22"/>
        </w:rPr>
        <w:t xml:space="preserve">Learn from it. Review the register at least every three months to look for patterns. Update our risk assessments and our procedures if the same kind of incident keeps happening.</w:t>
      </w:r>
    </w:p>
    <w:p>
      <w:pPr>
        <w:spacing w:after="120"/>
      </w:pPr>
      <w:r>
        <w:rPr>
          <w:rFonts w:ascii="Calibri" w:cs="Calibri" w:eastAsia="Calibri" w:hAnsi="Calibri"/>
          <w:sz w:val="22"/>
          <w:szCs w:val="22"/>
        </w:rPr>
        <w:t xml:space="preserve">If a participant, their family or anyone else wants to raise a concern about how we handled an incident, we treat it under our complaints process. We do not use restrictive practices, so no restrictive practice steps are included in this procedure.</w:t>
      </w:r>
    </w:p>
    <w:p>
      <w:pPr>
        <w:pStyle w:val="Heading1"/>
        <w:spacing w:after="120" w:before="240"/>
      </w:pPr>
      <w:r>
        <w:rPr>
          <w:rFonts w:ascii="Calibri" w:cs="Calibri" w:eastAsia="Calibri" w:hAnsi="Calibri"/>
          <w:b/>
          <w:bCs/>
        </w:rPr>
        <w:t xml:space="preserve">9 Incident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10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Incident management policy and procedure proportionate to a small provider, aligned to the 2018 Rules</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spacing w:after="120"/>
      </w:pPr>
      <w:r>
        <w:rPr>
          <w:rFonts w:ascii="Calibri" w:cs="Calibri" w:eastAsia="Calibri" w:hAnsi="Calibri"/>
          <w:sz w:val="22"/>
          <w:szCs w:val="22"/>
        </w:rPr>
        <w:t xml:space="preserve">Practice Standards this document supports: Incident management.</w:t>
      </w:r>
    </w:p>
    <w:p>
      <w:pPr>
        <w:pStyle w:val="Heading1"/>
        <w:spacing w:after="120" w:before="240"/>
      </w:pPr>
      <w:r>
        <w:rPr>
          <w:rFonts w:ascii="Calibri" w:cs="Calibri" w:eastAsia="Calibri" w:hAnsi="Calibri"/>
          <w:b/>
          <w:bCs/>
        </w:rPr>
        <w:t xml:space="preserve">12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Prepared with Readyline</dc:creator>
  <dc:description>Incident management policy, procedure and register for Sunrise Supports</dc:description>
  <cp:lastModifiedBy>Un-named</cp:lastModifiedBy>
  <cp:revision>1</cp:revision>
  <dcterms:created xsi:type="dcterms:W3CDTF">2026-10-12T02:43:37.629Z</dcterms:created>
  <dcterms:modified xsi:type="dcterms:W3CDTF">2026-10-12T02:43:37.629Z</dcterms:modified>
</cp:coreProperties>
</file>

<file path=docProps/custom.xml><?xml version="1.0" encoding="utf-8"?>
<Properties xmlns="http://schemas.openxmlformats.org/officeDocument/2006/custom-properties" xmlns:vt="http://schemas.openxmlformats.org/officeDocument/2006/docPropsVTypes"/>
</file>