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p>
      <w:pPr>
        <w:spacing w:after="120"/>
      </w:pPr>
      <w:r>
        <w:rPr>
          <w:rFonts w:ascii="Calibri" w:cs="Calibri" w:eastAsia="Calibri" w:hAnsi="Calibri"/>
          <w:sz w:val="22"/>
          <w:szCs w:val="22"/>
        </w:rPr>
        <w:t xml:space="preserve">Sunrise Supports is a sole trader. We deliver NDIS supports in New South Wales. Our worker count band is sole, and we have one key personnel position.</w:t>
      </w:r>
    </w:p>
    <w:p>
      <w:pPr>
        <w:spacing w:after="120"/>
      </w:pPr>
      <w:r>
        <w:rPr>
          <w:rFonts w:ascii="Calibri" w:cs="Calibri" w:eastAsia="Calibri" w:hAnsi="Calibri"/>
          <w:sz w:val="22"/>
          <w:szCs w:val="22"/>
        </w:rPr>
        <w:t xml:space="preserve">We are registered, or applying to register, for one registration group: 0120 Household tasks. This self-assessment covers only the supports in that group.</w:t>
      </w:r>
    </w:p>
    <w:p>
      <w:pPr>
        <w:spacing w:after="120"/>
      </w:pPr>
      <w:r>
        <w:rPr>
          <w:rFonts w:ascii="Calibri" w:cs="Calibri" w:eastAsia="Calibri" w:hAnsi="Calibri"/>
          <w:sz w:val="22"/>
          <w:szCs w:val="22"/>
        </w:rPr>
        <w:t xml:space="preserve">Our assessment pathway is verification. The module that applies to us is the Verification module. We do not use restrictive practices, so no module for restrictive practices or behaviour support applies to our scope.</w:t>
      </w:r>
    </w:p>
    <w:p>
      <w:pPr>
        <w:spacing w:after="120"/>
      </w:pPr>
      <w:r>
        <w:rPr>
          <w:rFonts w:ascii="Calibri" w:cs="Calibri" w:eastAsia="Calibri" w:hAnsi="Calibri"/>
          <w:sz w:val="22"/>
          <w:szCs w:val="22"/>
        </w:rPr>
        <w:t xml:space="preserve">The Verification module has four Practice Standards. This self-assessment has one row for each of them:</w:t>
      </w:r>
    </w:p>
    <w:p>
      <w:pPr>
        <w:pStyle w:val="ListParagraph"/>
        <w:numPr>
          <w:ilvl w:val="0"/>
          <w:numId w:val="2"/>
        </w:numPr>
        <w:spacing w:after="60"/>
      </w:pPr>
      <w:r>
        <w:rPr>
          <w:rFonts w:ascii="Calibri" w:cs="Calibri" w:eastAsia="Calibri" w:hAnsi="Calibri"/>
          <w:sz w:val="22"/>
          <w:szCs w:val="22"/>
        </w:rPr>
        <w:t xml:space="preserve">Human resource management</w:t>
      </w:r>
    </w:p>
    <w:p>
      <w:pPr>
        <w:pStyle w:val="ListParagraph"/>
        <w:numPr>
          <w:ilvl w:val="0"/>
          <w:numId w:val="2"/>
        </w:numPr>
        <w:spacing w:after="60"/>
      </w:pPr>
      <w:r>
        <w:rPr>
          <w:rFonts w:ascii="Calibri" w:cs="Calibri" w:eastAsia="Calibri" w:hAnsi="Calibri"/>
          <w:sz w:val="22"/>
          <w:szCs w:val="22"/>
        </w:rPr>
        <w:t xml:space="preserve">Incident management</w:t>
      </w:r>
    </w:p>
    <w:p>
      <w:pPr>
        <w:pStyle w:val="ListParagraph"/>
        <w:numPr>
          <w:ilvl w:val="0"/>
          <w:numId w:val="2"/>
        </w:numPr>
        <w:spacing w:after="60"/>
      </w:pPr>
      <w:r>
        <w:rPr>
          <w:rFonts w:ascii="Calibri" w:cs="Calibri" w:eastAsia="Calibri" w:hAnsi="Calibri"/>
          <w:sz w:val="22"/>
          <w:szCs w:val="22"/>
        </w:rPr>
        <w:t xml:space="preserve">Complaints management</w:t>
      </w:r>
    </w:p>
    <w:p>
      <w:pPr>
        <w:pStyle w:val="ListParagraph"/>
        <w:numPr>
          <w:ilvl w:val="0"/>
          <w:numId w:val="2"/>
        </w:numPr>
        <w:spacing w:after="60"/>
      </w:pPr>
      <w:r>
        <w:rPr>
          <w:rFonts w:ascii="Calibri" w:cs="Calibri" w:eastAsia="Calibri" w:hAnsi="Calibri"/>
          <w:sz w:val="22"/>
          <w:szCs w:val="22"/>
        </w:rPr>
        <w:t xml:space="preserve">Risk management</w:t>
      </w:r>
    </w:p>
    <w:p>
      <w:pPr>
        <w:spacing w:after="120"/>
      </w:pPr>
      <w:r>
        <w:rPr>
          <w:rFonts w:ascii="Calibri" w:cs="Calibri" w:eastAsia="Calibri" w:hAnsi="Calibri"/>
          <w:sz w:val="22"/>
          <w:szCs w:val="22"/>
        </w:rPr>
        <w:t xml:space="preserve">We have worker roles that carry risk, so we record the checks and training for those roles under Human resource management and Risk management. We review this scope when our supports, our states or our worker numbers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whether a mid-term audit applies to our pathway and registration group, as shown on our Commission registration or application, and the date if one is set.]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p>
      <w:pPr>
        <w:spacing w:after="120"/>
      </w:pPr>
      <w:r>
        <w:rPr>
          <w:rFonts w:ascii="Calibri" w:cs="Calibri" w:eastAsia="Calibri" w:hAnsi="Calibri"/>
          <w:sz w:val="22"/>
          <w:szCs w:val="22"/>
        </w:rPr>
        <w:t xml:space="preserve">Sunrise Supports is a sole trader that provides household tasks (support type 0120) in New South Wales. This section covers the Verification module. It says how we put each standard into practice and which documents and registers we keep. The status column in the table that follows is for us to complete before the audit.</w:t>
      </w:r>
    </w:p>
    <w:p>
      <w:pPr>
        <w:spacing w:after="120"/>
      </w:pPr>
      <w:r>
        <w:rPr>
          <w:rFonts w:ascii="Calibri" w:cs="Calibri" w:eastAsia="Calibri" w:hAnsi="Calibri"/>
          <w:sz w:val="22"/>
          <w:szCs w:val="22"/>
        </w:rPr>
        <w:t xml:space="preserve">Human resource management: We work alone, so we are the only worker. We keep our own identity, right to work, worker screening and qualification records in the Worker screening clearance register, and our orientation and refresher training in the Training register. We keep our infection prevention and control and PPE training there too, and we keep PPE on hand for each participant who needs it.</w:t>
      </w:r>
    </w:p>
    <w:p>
      <w:pPr>
        <w:spacing w:after="120"/>
      </w:pPr>
      <w:r>
        <w:rPr>
          <w:rFonts w:ascii="Calibri" w:cs="Calibri" w:eastAsia="Calibri" w:hAnsi="Calibri"/>
          <w:sz w:val="22"/>
          <w:szCs w:val="22"/>
        </w:rPr>
        <w:t xml:space="preserve">Incident management: We follow our incident management policy and procedure. We write down every incident in the Incident register, respond to it, and record what we learned. Our system is sized to a sole trader delivering household tasks. If the Rules require us to report an incident, we use the steps in the procedure.</w:t>
      </w:r>
    </w:p>
    <w:p>
      <w:pPr>
        <w:spacing w:after="120"/>
      </w:pPr>
      <w:r>
        <w:rPr>
          <w:rFonts w:ascii="Calibri" w:cs="Calibri" w:eastAsia="Calibri" w:hAnsi="Calibri"/>
          <w:sz w:val="22"/>
          <w:szCs w:val="22"/>
        </w:rPr>
        <w:t xml:space="preserve">Complaints management: We follow our complaints management policy and procedure. We tell each participant how to make a complaint and how to contact the Commission. We record every complaint, our response and the outcome in the Complaints register. We treat each complaint fairly and give the person a chance to be heard.</w:t>
      </w:r>
    </w:p>
    <w:p>
      <w:pPr>
        <w:spacing w:after="120"/>
      </w:pPr>
      <w:r>
        <w:rPr>
          <w:rFonts w:ascii="Calibri" w:cs="Calibri" w:eastAsia="Calibri" w:hAnsi="Calibri"/>
          <w:sz w:val="22"/>
          <w:szCs w:val="22"/>
        </w:rPr>
        <w:t xml:space="preserve">Risk management: We follow our risk management policy and procedure. Our risk assessments cover work health and safety, emergency and disaster planning, and how much each participant relies on us for daily living tasks. We keep a role risk assessment because we hold risk-assessed roles. We keep our insurance certificates with our risk records and apply infection prevention and control precautions at every participant's home. We use no restrictive practices. We record each review of these documents in the Policy review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insurers and policy expiry dates held for professional indemnity, public liability and accident cover.]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2026-10-12T02:00:37.966Z</dcterms:created>
  <dcterms:modified xsi:type="dcterms:W3CDTF">2026-10-12T02:00:37.966Z</dcterms:modified>
</cp:coreProperties>
</file>

<file path=docProps/custom.xml><?xml version="1.0" encoding="utf-8"?>
<Properties xmlns="http://schemas.openxmlformats.org/officeDocument/2006/custom-properties" xmlns:vt="http://schemas.openxmlformats.org/officeDocument/2006/docPropsVTypes"/>
</file>