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Practice Standards self-assessment</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Practice Standards self-assessment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How to use this self-assessment</w:t>
      </w:r>
    </w:p>
    <w:p>
      <w:pPr>
        <w:spacing w:after="120"/>
      </w:pPr>
      <w:r>
        <w:rPr>
          <w:rFonts w:ascii="Calibri" w:cs="Calibri" w:eastAsia="Calibri" w:hAnsi="Calibri"/>
          <w:sz w:val="22"/>
          <w:szCs w:val="22"/>
        </w:rPr>
        <w:t xml:space="preserve">Each row names one Practice Standard that applies to us, the Commission's outcome and quality indicators, how we meet them, and the records an auditor can ask for.</w:t>
      </w:r>
    </w:p>
    <w:p>
      <w:pPr>
        <w:spacing w:after="120"/>
      </w:pPr>
      <w:r>
        <w:rPr>
          <w:rFonts w:ascii="Calibri" w:cs="Calibri" w:eastAsia="Calibri" w:hAnsi="Calibri"/>
          <w:sz w:val="22"/>
          <w:szCs w:val="22"/>
        </w:rPr>
        <w:t xml:space="preserve">Before the audit we fill in the status column for every row: met, in progress or not started, with the date.</w:t>
      </w:r>
    </w:p>
    <w:p>
      <w:pPr>
        <w:pStyle w:val="Heading1"/>
        <w:spacing w:after="120" w:before="240"/>
      </w:pPr>
      <w:r>
        <w:rPr>
          <w:rFonts w:ascii="Calibri" w:cs="Calibri" w:eastAsia="Calibri" w:hAnsi="Calibri"/>
          <w:b/>
          <w:bCs/>
        </w:rPr>
        <w:t xml:space="preserve">2 Our registration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Our registration scope. Groups, pathway, modules and mid-term audit from the derived result, in sentences.]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Standards and how we meet them</w:t>
      </w:r>
    </w:p>
    <w:p>
      <w:pPr>
        <w:spacing w:after="120"/>
      </w:pPr>
      <w:r>
        <w:rPr>
          <w:rFonts w:ascii="Calibri" w:cs="Calibri" w:eastAsia="Calibri" w:hAnsi="Calibri"/>
          <w:sz w:val="22"/>
          <w:szCs w:val="22"/>
        </w:rPr>
        <w:t xml:space="preserve">This self-assessment covers the 4 standards that apply to Sunrise Supports. The outcome column is the Commission's own wording.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Standard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(Commission text)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Evidence we keep</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Status</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Human resource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participant’s support needs are met by workers who are competent in relation to their role, hold relevant qualifications, and who have relevant expertise and experience to provide person-centred support.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records: identity, right to work, pre-employment checks, qualifications and experience; NDIS worker orientation module completion, professional development, infection control and PPE training records; Worker screening clearance register with expiry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is safeguarded by the provider’s incident management system, ensuring that incidents are acknowledged, respond to, well-managed and learned from.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and procedure proportionate to a small provider, aligned to the 2018 Rules; Incident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has knowledge of and access to the provider’s complaints management and resolution system. Complaints made by all parties are welcomed, acknowledged, respected and well-managed.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and resolution policy and procedure aligned to the 2018 Rules; Complaints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Risks to participants, workers and the provider are identified and 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procedure including emergency and disaster planning and infection control; Risk register with dated reviews, including participant reliance and disruption impact; Current certificates of currency: professional indemnity, public liability and personal accident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How we meet these standards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meet these standards. For each module in scope, a short paragraph in the provider's voice on how the standards are met in practice, naming the documents and registers in the set; no claims of compliance.]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Items to prepare before the audit</w:t>
      </w:r>
    </w:p>
    <w:p>
      <w:pPr>
        <w:spacing w:after="120"/>
      </w:pPr>
      <w:r>
        <w:rPr>
          <w:rFonts w:ascii="Calibri" w:cs="Calibri" w:eastAsia="Calibri" w:hAnsi="Calibri"/>
          <w:sz w:val="22"/>
          <w:szCs w:val="22"/>
        </w:rPr>
        <w:t xml:space="preserve">The documents and registers listed below are part of our registration evidence. We mark each one as ready or still to prepare before we book the audit.</w:t>
      </w:r>
    </w:p>
    <w:p>
      <w:pPr>
        <w:pStyle w:val="ListParagraph"/>
        <w:numPr>
          <w:ilvl w:val="0"/>
          <w:numId w:val="2"/>
        </w:numPr>
        <w:spacing w:after="60"/>
      </w:pPr>
      <w:r>
        <w:rPr>
          <w:rFonts w:ascii="Calibri" w:cs="Calibri" w:eastAsia="Calibri" w:hAnsi="Calibri"/>
          <w:sz w:val="22"/>
          <w:szCs w:val="22"/>
        </w:rPr>
        <w:t xml:space="preserve">Governance policy</w:t>
      </w:r>
    </w:p>
    <w:p>
      <w:pPr>
        <w:pStyle w:val="ListParagraph"/>
        <w:numPr>
          <w:ilvl w:val="0"/>
          <w:numId w:val="2"/>
        </w:numPr>
        <w:spacing w:after="60"/>
      </w:pPr>
      <w:r>
        <w:rPr>
          <w:rFonts w:ascii="Calibri" w:cs="Calibri" w:eastAsia="Calibri" w:hAnsi="Calibri"/>
          <w:sz w:val="22"/>
          <w:szCs w:val="22"/>
        </w:rPr>
        <w:t xml:space="preserve">Risk management policy and register</w:t>
      </w:r>
    </w:p>
    <w:p>
      <w:pPr>
        <w:pStyle w:val="ListParagraph"/>
        <w:numPr>
          <w:ilvl w:val="0"/>
          <w:numId w:val="2"/>
        </w:numPr>
        <w:spacing w:after="60"/>
      </w:pPr>
      <w:r>
        <w:rPr>
          <w:rFonts w:ascii="Calibri" w:cs="Calibri" w:eastAsia="Calibri" w:hAnsi="Calibri"/>
          <w:sz w:val="22"/>
          <w:szCs w:val="22"/>
        </w:rPr>
        <w:t xml:space="preserve">Continuity of supports plan</w:t>
      </w:r>
    </w:p>
    <w:p>
      <w:pPr>
        <w:pStyle w:val="ListParagraph"/>
        <w:numPr>
          <w:ilvl w:val="0"/>
          <w:numId w:val="2"/>
        </w:numPr>
        <w:spacing w:after="60"/>
      </w:pPr>
      <w:r>
        <w:rPr>
          <w:rFonts w:ascii="Calibri" w:cs="Calibri" w:eastAsia="Calibri" w:hAnsi="Calibri"/>
          <w:sz w:val="22"/>
          <w:szCs w:val="22"/>
        </w:rPr>
        <w:t xml:space="preserve">Conflict of interest policy</w:t>
      </w:r>
    </w:p>
    <w:p>
      <w:pPr>
        <w:pStyle w:val="ListParagraph"/>
        <w:numPr>
          <w:ilvl w:val="0"/>
          <w:numId w:val="2"/>
        </w:numPr>
        <w:spacing w:after="60"/>
      </w:pPr>
      <w:r>
        <w:rPr>
          <w:rFonts w:ascii="Calibri" w:cs="Calibri" w:eastAsia="Calibri" w:hAnsi="Calibri"/>
          <w:sz w:val="22"/>
          <w:szCs w:val="22"/>
        </w:rPr>
        <w:t xml:space="preserve">Privacy and information management policy</w:t>
      </w:r>
    </w:p>
    <w:p>
      <w:pPr>
        <w:pStyle w:val="ListParagraph"/>
        <w:numPr>
          <w:ilvl w:val="0"/>
          <w:numId w:val="2"/>
        </w:numPr>
        <w:spacing w:after="60"/>
      </w:pPr>
      <w:r>
        <w:rPr>
          <w:rFonts w:ascii="Calibri" w:cs="Calibri" w:eastAsia="Calibri" w:hAnsi="Calibri"/>
          <w:sz w:val="22"/>
          <w:szCs w:val="22"/>
        </w:rPr>
        <w:t xml:space="preserve">Records management policy</w:t>
      </w:r>
    </w:p>
    <w:p>
      <w:pPr>
        <w:pStyle w:val="ListParagraph"/>
        <w:numPr>
          <w:ilvl w:val="0"/>
          <w:numId w:val="2"/>
        </w:numPr>
        <w:spacing w:after="60"/>
      </w:pPr>
      <w:r>
        <w:rPr>
          <w:rFonts w:ascii="Calibri" w:cs="Calibri" w:eastAsia="Calibri" w:hAnsi="Calibri"/>
          <w:sz w:val="22"/>
          <w:szCs w:val="22"/>
        </w:rPr>
        <w:t xml:space="preserve">Complaints management policy and register</w:t>
      </w:r>
    </w:p>
    <w:p>
      <w:pPr>
        <w:pStyle w:val="ListParagraph"/>
        <w:numPr>
          <w:ilvl w:val="0"/>
          <w:numId w:val="2"/>
        </w:numPr>
        <w:spacing w:after="60"/>
      </w:pPr>
      <w:r>
        <w:rPr>
          <w:rFonts w:ascii="Calibri" w:cs="Calibri" w:eastAsia="Calibri" w:hAnsi="Calibri"/>
          <w:sz w:val="22"/>
          <w:szCs w:val="22"/>
        </w:rPr>
        <w:t xml:space="preserve">Incident management policy and register</w:t>
      </w:r>
    </w:p>
    <w:p>
      <w:pPr>
        <w:pStyle w:val="ListParagraph"/>
        <w:numPr>
          <w:ilvl w:val="0"/>
          <w:numId w:val="2"/>
        </w:numPr>
        <w:spacing w:after="60"/>
      </w:pPr>
      <w:r>
        <w:rPr>
          <w:rFonts w:ascii="Calibri" w:cs="Calibri" w:eastAsia="Calibri" w:hAnsi="Calibri"/>
          <w:sz w:val="22"/>
          <w:szCs w:val="22"/>
        </w:rPr>
        <w:t xml:space="preserve">Worker screening and recruitment procedure</w:t>
      </w:r>
    </w:p>
    <w:p>
      <w:pPr>
        <w:pStyle w:val="ListParagraph"/>
        <w:numPr>
          <w:ilvl w:val="0"/>
          <w:numId w:val="2"/>
        </w:numPr>
        <w:spacing w:after="60"/>
      </w:pPr>
      <w:r>
        <w:rPr>
          <w:rFonts w:ascii="Calibri" w:cs="Calibri" w:eastAsia="Calibri" w:hAnsi="Calibri"/>
          <w:sz w:val="22"/>
          <w:szCs w:val="22"/>
        </w:rPr>
        <w:t xml:space="preserve">Induction and training procedure and register</w:t>
      </w:r>
    </w:p>
    <w:p>
      <w:pPr>
        <w:pStyle w:val="ListParagraph"/>
        <w:numPr>
          <w:ilvl w:val="0"/>
          <w:numId w:val="2"/>
        </w:numPr>
        <w:spacing w:after="60"/>
      </w:pPr>
      <w:r>
        <w:rPr>
          <w:rFonts w:ascii="Calibri" w:cs="Calibri" w:eastAsia="Calibri" w:hAnsi="Calibri"/>
          <w:sz w:val="22"/>
          <w:szCs w:val="22"/>
        </w:rPr>
        <w:t xml:space="preserve">Code of conduct acknowledgement</w:t>
      </w:r>
    </w:p>
    <w:p>
      <w:pPr>
        <w:pStyle w:val="ListParagraph"/>
        <w:numPr>
          <w:ilvl w:val="0"/>
          <w:numId w:val="2"/>
        </w:numPr>
        <w:spacing w:after="60"/>
      </w:pPr>
      <w:r>
        <w:rPr>
          <w:rFonts w:ascii="Calibri" w:cs="Calibri" w:eastAsia="Calibri" w:hAnsi="Calibri"/>
          <w:sz w:val="22"/>
          <w:szCs w:val="22"/>
        </w:rPr>
        <w:t xml:space="preserve">Service agreement template</w:t>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Practice Standards self-assessment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Standards self-assessment</dc:title>
  <dc:creator>Prepared with Readyline</dc:creator>
  <dc:description>Practice Standards self-assessment for Sunrise Supports</dc:description>
  <cp:lastModifiedBy>Un-named</cp:lastModifiedBy>
  <cp:revision>1</cp:revision>
  <dcterms:created xsi:type="dcterms:W3CDTF">2026-10-12T00:50:17.236Z</dcterms:created>
  <dcterms:modified xsi:type="dcterms:W3CDTF">2026-10-12T00:50:17.236Z</dcterms:modified>
</cp:coreProperties>
</file>

<file path=docProps/custom.xml><?xml version="1.0" encoding="utf-8"?>
<Properties xmlns="http://schemas.openxmlformats.org/officeDocument/2006/custom-properties" xmlns:vt="http://schemas.openxmlformats.org/officeDocument/2006/docPropsVTypes"/>
</file>