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Diagrama de Carriles (Swimlane Diagram) — Estratego</w:t>
      </w:r>
    </w:p>
    <w:p>
      <w:pPr>
        <w:spacing w:after="60"/>
        <w:jc w:val="center"/>
      </w:pPr>
      <w:r>
        <w:rPr>
          <w:i/>
          <w:iCs/>
          <w:sz w:val="20"/>
          <w:szCs w:val="20"/>
        </w:rPr>
        <w:t xml:space="preserve">Mapeo de procesos extremo a extremo por rol de usuario y automatizaciones del sistema — Simulador de Juego Gerencial</w:t>
      </w:r>
    </w:p>
    <w:p>
      <w:pPr>
        <w:spacing w:after="220"/>
        <w:jc w:val="center"/>
      </w:pPr>
      <w:r>
        <w:rPr>
          <w:i/>
          <w:iCs/>
          <w:color w:val="555555"/>
          <w:sz w:val="15"/>
          <w:szCs w:val="15"/>
        </w:rPr>
        <w:t xml:space="preserve">BORRADOR v1 — construido con la información confirmada por el cliente hasta el 29/08/2026 (ver docs/01, docs/02, docs/03). Las celdas marcadas [POR CONFIRMAR] son preguntas abiertas, no requisitos inventados.</w:t>
      </w:r>
    </w:p>
    <w:tbl>
      <w:tblPr>
        <w:tblW w:type="dxa" w:w="13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850"/>
        <w:gridCol w:w="2850"/>
        <w:gridCol w:w="2850"/>
        <w:gridCol w:w="2850"/>
      </w:tblGrid>
      <w:tr>
        <w:trPr>
          <w:tblHeader/>
        </w:trPr>
        <w:tc>
          <w:tcPr>
            <w:tcW w:type="dxa" w:w="1800"/>
            <w:shd w:fill="1A1A1A" w:val="clear"/>
            <w:tcMar>
              <w:top w:type="dxa" w:w="140"/>
              <w:left w:type="dxa" w:w="120"/>
              <w:bottom w:type="dxa" w:w="140"/>
              <w:right w:type="dxa" w:w="120"/>
            </w:tcMar>
          </w:tcPr>
          <w:p>
            <w:pPr>
              <w:jc w:val="center"/>
            </w:pPr>
            <w:r>
              <w:rPr>
                <w:b/>
                <w:bCs/>
                <w:color w:val="FFFFFF"/>
                <w:sz w:val="20"/>
                <w:szCs w:val="20"/>
              </w:rPr>
              <w:t xml:space="preserve">ROL / ACTOR</w:t>
            </w:r>
          </w:p>
        </w:tc>
        <w:tc>
          <w:tcPr>
            <w:tcW w:type="dxa" w:w="2850"/>
            <w:shd w:fill="1A1A1A" w:val="clear"/>
            <w:tcMar>
              <w:top w:type="dxa" w:w="140"/>
              <w:left w:type="dxa" w:w="120"/>
              <w:bottom w:type="dxa" w:w="140"/>
              <w:right w:type="dxa" w:w="120"/>
            </w:tcMar>
          </w:tcPr>
          <w:p>
            <w:pPr>
              <w:jc w:val="center"/>
            </w:pPr>
            <w:r>
              <w:rPr>
                <w:b/>
                <w:bCs/>
                <w:color w:val="FFFFFF"/>
                <w:sz w:val="20"/>
                <w:szCs w:val="20"/>
              </w:rPr>
              <w:t xml:space="preserve">FASE 1:</w:t>
            </w:r>
          </w:p>
          <w:p>
            <w:pPr>
              <w:jc w:val="center"/>
            </w:pPr>
            <w:r>
              <w:rPr>
                <w:i/>
                <w:iCs/>
                <w:color w:val="D0D0D0"/>
                <w:sz w:val="16"/>
                <w:szCs w:val="16"/>
              </w:rPr>
              <w:t xml:space="preserve">Registro y Configuración</w:t>
            </w:r>
          </w:p>
        </w:tc>
        <w:tc>
          <w:tcPr>
            <w:tcW w:type="dxa" w:w="2850"/>
            <w:shd w:fill="1A1A1A" w:val="clear"/>
            <w:tcMar>
              <w:top w:type="dxa" w:w="140"/>
              <w:left w:type="dxa" w:w="120"/>
              <w:bottom w:type="dxa" w:w="140"/>
              <w:right w:type="dxa" w:w="120"/>
            </w:tcMar>
          </w:tcPr>
          <w:p>
            <w:pPr>
              <w:jc w:val="center"/>
            </w:pPr>
            <w:r>
              <w:rPr>
                <w:b/>
                <w:bCs/>
                <w:color w:val="FFFFFF"/>
                <w:sz w:val="20"/>
                <w:szCs w:val="20"/>
              </w:rPr>
              <w:t xml:space="preserve">FASE 2:</w:t>
            </w:r>
          </w:p>
          <w:p>
            <w:pPr>
              <w:jc w:val="center"/>
            </w:pPr>
            <w:r>
              <w:rPr>
                <w:i/>
                <w:iCs/>
                <w:color w:val="D0D0D0"/>
                <w:sz w:val="16"/>
                <w:szCs w:val="16"/>
              </w:rPr>
              <w:t xml:space="preserve">Toma de Decisiones</w:t>
            </w:r>
          </w:p>
        </w:tc>
        <w:tc>
          <w:tcPr>
            <w:tcW w:type="dxa" w:w="2850"/>
            <w:shd w:fill="1A1A1A" w:val="clear"/>
            <w:tcMar>
              <w:top w:type="dxa" w:w="140"/>
              <w:left w:type="dxa" w:w="120"/>
              <w:bottom w:type="dxa" w:w="140"/>
              <w:right w:type="dxa" w:w="120"/>
            </w:tcMar>
          </w:tcPr>
          <w:p>
            <w:pPr>
              <w:jc w:val="center"/>
            </w:pPr>
            <w:r>
              <w:rPr>
                <w:b/>
                <w:bCs/>
                <w:color w:val="FFFFFF"/>
                <w:sz w:val="20"/>
                <w:szCs w:val="20"/>
              </w:rPr>
              <w:t xml:space="preserve">FASE 3:</w:t>
            </w:r>
          </w:p>
          <w:p>
            <w:pPr>
              <w:jc w:val="center"/>
            </w:pPr>
            <w:r>
              <w:rPr>
                <w:i/>
                <w:iCs/>
                <w:color w:val="D0D0D0"/>
                <w:sz w:val="16"/>
                <w:szCs w:val="16"/>
              </w:rPr>
              <w:t xml:space="preserve">Procesamiento y Cálculo</w:t>
            </w:r>
          </w:p>
        </w:tc>
        <w:tc>
          <w:tcPr>
            <w:tcW w:type="dxa" w:w="2850"/>
            <w:shd w:fill="1A1A1A" w:val="clear"/>
            <w:tcMar>
              <w:top w:type="dxa" w:w="140"/>
              <w:left w:type="dxa" w:w="120"/>
              <w:bottom w:type="dxa" w:w="140"/>
              <w:right w:type="dxa" w:w="120"/>
            </w:tcMar>
          </w:tcPr>
          <w:p>
            <w:pPr>
              <w:jc w:val="center"/>
            </w:pPr>
            <w:r>
              <w:rPr>
                <w:b/>
                <w:bCs/>
                <w:color w:val="FFFFFF"/>
                <w:sz w:val="20"/>
                <w:szCs w:val="20"/>
              </w:rPr>
              <w:t xml:space="preserve">FASE 4:</w:t>
            </w:r>
          </w:p>
          <w:p>
            <w:pPr>
              <w:jc w:val="center"/>
            </w:pPr>
            <w:r>
              <w:rPr>
                <w:i/>
                <w:iCs/>
                <w:color w:val="D0D0D0"/>
                <w:sz w:val="16"/>
                <w:szCs w:val="16"/>
              </w:rPr>
              <w:t xml:space="preserve">Resultados y Seguimiento</w:t>
            </w:r>
          </w:p>
        </w:tc>
      </w:tr>
      <w:tr>
        <w:tc>
          <w:tcPr>
            <w:tcW w:type="dxa" w:w="1800"/>
            <w:shd w:fill="EFEFEF" w:val="clear"/>
            <w:tcMar>
              <w:top w:type="dxa" w:w="140"/>
              <w:left w:type="dxa" w:w="120"/>
              <w:bottom w:type="dxa" w:w="140"/>
              <w:right w:type="dxa" w:w="120"/>
            </w:tcMar>
          </w:tcPr>
          <w:p>
            <w:pPr>
              <w:jc w:val="center"/>
            </w:pPr>
            <w:r>
              <w:rPr>
                <w:b/>
                <w:bCs/>
                <w:sz w:val="20"/>
                <w:szCs w:val="20"/>
              </w:rPr>
              <w:t xml:space="preserve">ESTUDIANTE</w:t>
            </w:r>
          </w:p>
          <w:p>
            <w:pPr>
              <w:jc w:val="center"/>
            </w:pPr>
            <w:r>
              <w:rPr>
                <w:i/>
                <w:iCs/>
                <w:color w:val="555555"/>
                <w:sz w:val="16"/>
                <w:szCs w:val="16"/>
              </w:rPr>
              <w:t xml:space="preserve">Participante / Usuario final</w:t>
            </w:r>
          </w:p>
        </w:tc>
        <w:tc>
          <w:tcPr>
            <w:tcW w:type="dxa" w:w="2850"/>
            <w:tcMar>
              <w:top w:type="dxa" w:w="120"/>
              <w:left w:type="dxa" w:w="120"/>
              <w:bottom w:type="dxa" w:w="120"/>
              <w:right w:type="dxa" w:w="120"/>
            </w:tcMar>
            <w:vAlign w:val="top"/>
          </w:tcPr>
          <w:p>
            <w:pPr>
              <w:pStyle w:val="ListParagraph"/>
              <w:numPr>
                <w:ilvl w:val="0"/>
                <w:numId w:val="2"/>
              </w:numPr>
              <w:spacing w:after="80"/>
            </w:pPr>
            <w:r>
              <w:rPr>
                <w:b/>
                <w:bCs/>
                <w:color w:val="1B7A3D"/>
                <w:sz w:val="16"/>
                <w:szCs w:val="16"/>
              </w:rPr>
              <w:t xml:space="preserve">[CONFIRMADO] </w:t>
            </w:r>
            <w:r>
              <w:rPr>
                <w:sz w:val="18"/>
                <w:szCs w:val="18"/>
              </w:rPr>
              <w:t xml:space="preserve">Inicia sesión con las credenciales asignadas (usuario y contraseña generados).</w:t>
            </w:r>
          </w:p>
          <w:p>
            <w:pPr>
              <w:pStyle w:val="ListParagraph"/>
              <w:numPr>
                <w:ilvl w:val="0"/>
                <w:numId w:val="2"/>
              </w:numPr>
              <w:spacing w:after="80"/>
            </w:pPr>
            <w:r>
              <w:rPr>
                <w:b/>
                <w:bCs/>
                <w:color w:val="1B7A3D"/>
                <w:sz w:val="16"/>
                <w:szCs w:val="16"/>
              </w:rPr>
              <w:t xml:space="preserve">[CONFIRMADO] </w:t>
            </w:r>
            <w:r>
              <w:rPr>
                <w:sz w:val="18"/>
                <w:szCs w:val="18"/>
              </w:rPr>
              <w:t xml:space="preserve">Consulta la situación inicial del caso: estados financieros ya cerrados de un período base.</w:t>
            </w:r>
          </w:p>
        </w:tc>
        <w:tc>
          <w:tcPr>
            <w:tcW w:type="dxa" w:w="2850"/>
            <w:tcMar>
              <w:top w:type="dxa" w:w="120"/>
              <w:left w:type="dxa" w:w="120"/>
              <w:bottom w:type="dxa" w:w="120"/>
              <w:right w:type="dxa" w:w="120"/>
            </w:tcMar>
            <w:vAlign w:val="top"/>
          </w:tcPr>
          <w:p>
            <w:pPr>
              <w:pStyle w:val="ListParagraph"/>
              <w:numPr>
                <w:ilvl w:val="0"/>
                <w:numId w:val="2"/>
              </w:numPr>
              <w:spacing w:after="80"/>
            </w:pPr>
            <w:r>
              <w:rPr>
                <w:b/>
                <w:bCs/>
                <w:color w:val="1B7A3D"/>
                <w:sz w:val="16"/>
                <w:szCs w:val="16"/>
              </w:rPr>
              <w:t xml:space="preserve">[CONFIRMADO] </w:t>
            </w:r>
            <w:r>
              <w:rPr>
                <w:sz w:val="18"/>
                <w:szCs w:val="18"/>
              </w:rPr>
              <w:t xml:space="preserve">Revisa la información y el catálogo de decisiones por categoría: operacionales, administrativas, comerciales.</w:t>
            </w:r>
          </w:p>
          <w:p>
            <w:pPr>
              <w:pStyle w:val="ListParagraph"/>
              <w:numPr>
                <w:ilvl w:val="0"/>
                <w:numId w:val="2"/>
              </w:numPr>
              <w:spacing w:after="80"/>
            </w:pPr>
            <w:r>
              <w:rPr>
                <w:b/>
                <w:bCs/>
                <w:color w:val="1B7A3D"/>
                <w:sz w:val="16"/>
                <w:szCs w:val="16"/>
              </w:rPr>
              <w:t xml:space="preserve">[CONFIRMADO] </w:t>
            </w:r>
            <w:r>
              <w:rPr>
                <w:sz w:val="18"/>
                <w:szCs w:val="18"/>
              </w:rPr>
              <w:t xml:space="preserve">Selecciona una opción por decisión (incluye “no hacer nada” como opción explícita), o no decide dentro del período.</w:t>
            </w:r>
          </w:p>
        </w:tc>
        <w:tc>
          <w:tcPr>
            <w:tcW w:type="dxa" w:w="2850"/>
            <w:tcMar>
              <w:top w:type="dxa" w:w="120"/>
              <w:left w:type="dxa" w:w="120"/>
              <w:bottom w:type="dxa" w:w="120"/>
              <w:right w:type="dxa" w:w="120"/>
            </w:tcMar>
            <w:vAlign w:val="top"/>
          </w:tcPr>
          <w:p>
            <w:pPr>
              <w:pStyle w:val="ListParagraph"/>
              <w:numPr>
                <w:ilvl w:val="0"/>
                <w:numId w:val="2"/>
              </w:numPr>
              <w:spacing w:after="80"/>
            </w:pPr>
            <w:r>
              <w:rPr>
                <w:b/>
                <w:bCs/>
                <w:color w:val="8A6D00"/>
                <w:sz w:val="16"/>
                <w:szCs w:val="16"/>
              </w:rPr>
              <w:t xml:space="preserve">[INFERENCIA] </w:t>
            </w:r>
            <w:r>
              <w:rPr>
                <w:sz w:val="18"/>
                <w:szCs w:val="18"/>
              </w:rPr>
              <w:t xml:space="preserve">No ejecuta ninguna acción directa en esta fase; el procesamiento es responsabilidad del Sistema.</w:t>
            </w:r>
          </w:p>
        </w:tc>
        <w:tc>
          <w:tcPr>
            <w:tcW w:type="dxa" w:w="2850"/>
            <w:tcMar>
              <w:top w:type="dxa" w:w="120"/>
              <w:left w:type="dxa" w:w="120"/>
              <w:bottom w:type="dxa" w:w="120"/>
              <w:right w:type="dxa" w:w="120"/>
            </w:tcMar>
            <w:vAlign w:val="top"/>
          </w:tcPr>
          <w:p>
            <w:pPr>
              <w:pStyle w:val="ListParagraph"/>
              <w:numPr>
                <w:ilvl w:val="0"/>
                <w:numId w:val="2"/>
              </w:numPr>
              <w:spacing w:after="80"/>
            </w:pPr>
            <w:r>
              <w:rPr>
                <w:b/>
                <w:bCs/>
                <w:color w:val="B00020"/>
                <w:sz w:val="16"/>
                <w:szCs w:val="16"/>
              </w:rPr>
              <w:t xml:space="preserve">[POR CONFIRMAR] </w:t>
            </w:r>
            <w:r>
              <w:rPr>
                <w:sz w:val="18"/>
                <w:szCs w:val="18"/>
              </w:rPr>
              <w:t xml:space="preserve">Consulta los indicadores y estados financieros actualizados de su empresa tras el cierre (no confirmado explícitamente para este proyecto todavía).</w:t>
            </w:r>
          </w:p>
        </w:tc>
      </w:tr>
      <w:tr>
        <w:tc>
          <w:tcPr>
            <w:tcW w:type="dxa" w:w="1800"/>
            <w:shd w:fill="EFEFEF" w:val="clear"/>
            <w:tcMar>
              <w:top w:type="dxa" w:w="140"/>
              <w:left w:type="dxa" w:w="120"/>
              <w:bottom w:type="dxa" w:w="140"/>
              <w:right w:type="dxa" w:w="120"/>
            </w:tcMar>
          </w:tcPr>
          <w:p>
            <w:pPr>
              <w:jc w:val="center"/>
            </w:pPr>
            <w:r>
              <w:rPr>
                <w:b/>
                <w:bCs/>
                <w:sz w:val="20"/>
                <w:szCs w:val="20"/>
              </w:rPr>
              <w:t xml:space="preserve">DOCENTE / ADMIN *</w:t>
            </w:r>
          </w:p>
          <w:p>
            <w:pPr>
              <w:jc w:val="center"/>
            </w:pPr>
            <w:r>
              <w:rPr>
                <w:i/>
                <w:iCs/>
                <w:color w:val="555555"/>
                <w:sz w:val="16"/>
                <w:szCs w:val="16"/>
              </w:rPr>
              <w:t xml:space="preserve">Configuración y supervisión</w:t>
            </w:r>
          </w:p>
        </w:tc>
        <w:tc>
          <w:tcPr>
            <w:tcW w:type="dxa" w:w="2850"/>
            <w:tcMar>
              <w:top w:type="dxa" w:w="120"/>
              <w:left w:type="dxa" w:w="120"/>
              <w:bottom w:type="dxa" w:w="120"/>
              <w:right w:type="dxa" w:w="120"/>
            </w:tcMar>
            <w:vAlign w:val="top"/>
          </w:tcPr>
          <w:p>
            <w:pPr>
              <w:pStyle w:val="ListParagraph"/>
              <w:numPr>
                <w:ilvl w:val="0"/>
                <w:numId w:val="2"/>
              </w:numPr>
              <w:spacing w:after="80"/>
            </w:pPr>
            <w:r>
              <w:rPr>
                <w:b/>
                <w:bCs/>
                <w:color w:val="1B7A3D"/>
                <w:sz w:val="16"/>
                <w:szCs w:val="16"/>
              </w:rPr>
              <w:t xml:space="preserve">[CONFIRMADO] </w:t>
            </w:r>
            <w:r>
              <w:rPr>
                <w:sz w:val="18"/>
                <w:szCs w:val="18"/>
              </w:rPr>
              <w:t xml:space="preserve">Se registra o inicia sesión en el sistema.</w:t>
            </w:r>
          </w:p>
          <w:p>
            <w:pPr>
              <w:pStyle w:val="ListParagraph"/>
              <w:numPr>
                <w:ilvl w:val="0"/>
                <w:numId w:val="2"/>
              </w:numPr>
              <w:spacing w:after="80"/>
            </w:pPr>
            <w:r>
              <w:rPr>
                <w:b/>
                <w:bCs/>
                <w:color w:val="1B7A3D"/>
                <w:sz w:val="16"/>
                <w:szCs w:val="16"/>
              </w:rPr>
              <w:t xml:space="preserve">[CONFIRMADO] </w:t>
            </w:r>
            <w:r>
              <w:rPr>
                <w:sz w:val="18"/>
                <w:szCs w:val="18"/>
              </w:rPr>
              <w:t xml:space="preserve">Carga el listado de estudiantes vía Excel (correo, nombre y otra información).</w:t>
            </w:r>
          </w:p>
          <w:p>
            <w:pPr>
              <w:pStyle w:val="ListParagraph"/>
              <w:numPr>
                <w:ilvl w:val="0"/>
                <w:numId w:val="2"/>
              </w:numPr>
              <w:spacing w:after="80"/>
            </w:pPr>
            <w:r>
              <w:rPr>
                <w:b/>
                <w:bCs/>
                <w:color w:val="8A6D00"/>
                <w:sz w:val="16"/>
                <w:szCs w:val="16"/>
              </w:rPr>
              <w:t xml:space="preserve">[INFERENCIA] </w:t>
            </w:r>
            <w:r>
              <w:rPr>
                <w:sz w:val="18"/>
                <w:szCs w:val="18"/>
              </w:rPr>
              <w:t xml:space="preserve">Define o actualiza el escenario del período base y el catálogo de decisiones disponibles.</w:t>
            </w:r>
          </w:p>
        </w:tc>
        <w:tc>
          <w:tcPr>
            <w:tcW w:type="dxa" w:w="2850"/>
            <w:tcMar>
              <w:top w:type="dxa" w:w="120"/>
              <w:left w:type="dxa" w:w="120"/>
              <w:bottom w:type="dxa" w:w="120"/>
              <w:right w:type="dxa" w:w="120"/>
            </w:tcMar>
            <w:vAlign w:val="top"/>
          </w:tcPr>
          <w:p>
            <w:pPr>
              <w:pStyle w:val="ListParagraph"/>
              <w:numPr>
                <w:ilvl w:val="0"/>
                <w:numId w:val="2"/>
              </w:numPr>
              <w:spacing w:after="80"/>
            </w:pPr>
            <w:r>
              <w:rPr>
                <w:b/>
                <w:bCs/>
                <w:color w:val="B00020"/>
                <w:sz w:val="16"/>
                <w:szCs w:val="16"/>
              </w:rPr>
              <w:t xml:space="preserve">[POR CONFIRMAR] </w:t>
            </w:r>
            <w:r>
              <w:rPr>
                <w:sz w:val="18"/>
                <w:szCs w:val="18"/>
              </w:rPr>
              <w:t xml:space="preserve">¿Puede ver el avance de las decisiones de los equipos en tiempo real, o solo al cierre del período?</w:t>
            </w:r>
          </w:p>
        </w:tc>
        <w:tc>
          <w:tcPr>
            <w:tcW w:type="dxa" w:w="2850"/>
            <w:tcMar>
              <w:top w:type="dxa" w:w="120"/>
              <w:left w:type="dxa" w:w="120"/>
              <w:bottom w:type="dxa" w:w="120"/>
              <w:right w:type="dxa" w:w="120"/>
            </w:tcMar>
            <w:vAlign w:val="top"/>
          </w:tcPr>
          <w:p>
            <w:pPr>
              <w:pStyle w:val="ListParagraph"/>
              <w:numPr>
                <w:ilvl w:val="0"/>
                <w:numId w:val="2"/>
              </w:numPr>
              <w:spacing w:after="80"/>
            </w:pPr>
            <w:r>
              <w:rPr>
                <w:b/>
                <w:bCs/>
                <w:color w:val="B00020"/>
                <w:sz w:val="16"/>
                <w:szCs w:val="16"/>
              </w:rPr>
              <w:t xml:space="preserve">[POR CONFIRMAR] </w:t>
            </w:r>
            <w:r>
              <w:rPr>
                <w:sz w:val="18"/>
                <w:szCs w:val="18"/>
              </w:rPr>
              <w:t xml:space="preserve">¿Dispara manualmente el cierre/avance de período, o el Sistema lo hace automáticamente por fecha límite?</w:t>
            </w:r>
          </w:p>
        </w:tc>
        <w:tc>
          <w:tcPr>
            <w:tcW w:type="dxa" w:w="2850"/>
            <w:tcMar>
              <w:top w:type="dxa" w:w="120"/>
              <w:left w:type="dxa" w:w="120"/>
              <w:bottom w:type="dxa" w:w="120"/>
              <w:right w:type="dxa" w:w="120"/>
            </w:tcMar>
            <w:vAlign w:val="top"/>
          </w:tcPr>
          <w:p>
            <w:pPr>
              <w:pStyle w:val="ListParagraph"/>
              <w:numPr>
                <w:ilvl w:val="0"/>
                <w:numId w:val="2"/>
              </w:numPr>
              <w:spacing w:after="80"/>
            </w:pPr>
            <w:r>
              <w:rPr>
                <w:b/>
                <w:bCs/>
                <w:color w:val="B00020"/>
                <w:sz w:val="16"/>
                <w:szCs w:val="16"/>
              </w:rPr>
              <w:t xml:space="preserve">[POR CONFIRMAR] </w:t>
            </w:r>
            <w:r>
              <w:rPr>
                <w:sz w:val="18"/>
                <w:szCs w:val="18"/>
              </w:rPr>
              <w:t xml:space="preserve">¿Tiene una vista comparativa de todas las empresas/equipos del juego?</w:t>
            </w:r>
          </w:p>
        </w:tc>
      </w:tr>
      <w:tr>
        <w:tc>
          <w:tcPr>
            <w:tcW w:type="dxa" w:w="1800"/>
            <w:shd w:fill="EFEFEF" w:val="clear"/>
            <w:tcMar>
              <w:top w:type="dxa" w:w="140"/>
              <w:left w:type="dxa" w:w="120"/>
              <w:bottom w:type="dxa" w:w="140"/>
              <w:right w:type="dxa" w:w="120"/>
            </w:tcMar>
          </w:tcPr>
          <w:p>
            <w:pPr>
              <w:jc w:val="center"/>
            </w:pPr>
            <w:r>
              <w:rPr>
                <w:b/>
                <w:bCs/>
                <w:sz w:val="20"/>
                <w:szCs w:val="20"/>
              </w:rPr>
              <w:t xml:space="preserve">SISTEMA</w:t>
            </w:r>
          </w:p>
          <w:p>
            <w:pPr>
              <w:jc w:val="center"/>
            </w:pPr>
            <w:r>
              <w:rPr>
                <w:i/>
                <w:iCs/>
                <w:color w:val="555555"/>
                <w:sz w:val="16"/>
                <w:szCs w:val="16"/>
              </w:rPr>
              <w:t xml:space="preserve">Núcleo automático</w:t>
            </w:r>
          </w:p>
        </w:tc>
        <w:tc>
          <w:tcPr>
            <w:tcW w:type="dxa" w:w="2850"/>
            <w:tcMar>
              <w:top w:type="dxa" w:w="120"/>
              <w:left w:type="dxa" w:w="120"/>
              <w:bottom w:type="dxa" w:w="120"/>
              <w:right w:type="dxa" w:w="120"/>
            </w:tcMar>
            <w:vAlign w:val="top"/>
          </w:tcPr>
          <w:p>
            <w:pPr>
              <w:pStyle w:val="ListParagraph"/>
              <w:numPr>
                <w:ilvl w:val="0"/>
                <w:numId w:val="2"/>
              </w:numPr>
              <w:spacing w:after="80"/>
            </w:pPr>
            <w:r>
              <w:rPr>
                <w:b/>
                <w:bCs/>
                <w:color w:val="1B7A3D"/>
                <w:sz w:val="16"/>
                <w:szCs w:val="16"/>
              </w:rPr>
              <w:t xml:space="preserve">[CONFIRMADO] </w:t>
            </w:r>
            <w:r>
              <w:rPr>
                <w:sz w:val="18"/>
                <w:szCs w:val="18"/>
              </w:rPr>
              <w:t xml:space="preserve">Valida las credenciales al iniciar sesión.</w:t>
            </w:r>
          </w:p>
          <w:p>
            <w:pPr>
              <w:pStyle w:val="ListParagraph"/>
              <w:numPr>
                <w:ilvl w:val="0"/>
                <w:numId w:val="2"/>
              </w:numPr>
              <w:spacing w:after="80"/>
            </w:pPr>
            <w:r>
              <w:rPr>
                <w:b/>
                <w:bCs/>
                <w:color w:val="1B7A3D"/>
                <w:sz w:val="16"/>
                <w:szCs w:val="16"/>
              </w:rPr>
              <w:t xml:space="preserve">[CONFIRMADO] </w:t>
            </w:r>
            <w:r>
              <w:rPr>
                <w:sz w:val="18"/>
                <w:szCs w:val="18"/>
              </w:rPr>
              <w:t xml:space="preserve">Genera automáticamente la contraseña de cada estudiante cargado (patrón tipo USU-001-N.º de identificación).</w:t>
            </w:r>
          </w:p>
        </w:tc>
        <w:tc>
          <w:tcPr>
            <w:tcW w:type="dxa" w:w="2850"/>
            <w:tcMar>
              <w:top w:type="dxa" w:w="120"/>
              <w:left w:type="dxa" w:w="120"/>
              <w:bottom w:type="dxa" w:w="120"/>
              <w:right w:type="dxa" w:w="120"/>
            </w:tcMar>
            <w:vAlign w:val="top"/>
          </w:tcPr>
          <w:p>
            <w:pPr>
              <w:pStyle w:val="ListParagraph"/>
              <w:numPr>
                <w:ilvl w:val="0"/>
                <w:numId w:val="2"/>
              </w:numPr>
              <w:spacing w:after="80"/>
            </w:pPr>
            <w:r>
              <w:rPr>
                <w:b/>
                <w:bCs/>
                <w:color w:val="1B7A3D"/>
                <w:sz w:val="16"/>
                <w:szCs w:val="16"/>
              </w:rPr>
              <w:t xml:space="preserve">[CONFIRMADO] </w:t>
            </w:r>
            <w:r>
              <w:rPr>
                <w:sz w:val="18"/>
                <w:szCs w:val="18"/>
              </w:rPr>
              <w:t xml:space="preserve">Registra la opción elegida (o la ausencia de decisión) por empresa, decisión y período.</w:t>
            </w:r>
          </w:p>
        </w:tc>
        <w:tc>
          <w:tcPr>
            <w:tcW w:type="dxa" w:w="2850"/>
            <w:tcMar>
              <w:top w:type="dxa" w:w="120"/>
              <w:left w:type="dxa" w:w="120"/>
              <w:bottom w:type="dxa" w:w="120"/>
              <w:right w:type="dxa" w:w="120"/>
            </w:tcMar>
            <w:vAlign w:val="top"/>
          </w:tcPr>
          <w:p>
            <w:pPr>
              <w:pStyle w:val="ListParagraph"/>
              <w:numPr>
                <w:ilvl w:val="0"/>
                <w:numId w:val="2"/>
              </w:numPr>
              <w:spacing w:after="80"/>
            </w:pPr>
            <w:r>
              <w:rPr>
                <w:b/>
                <w:bCs/>
                <w:color w:val="1B7A3D"/>
                <w:sz w:val="16"/>
                <w:szCs w:val="16"/>
              </w:rPr>
              <w:t xml:space="preserve">[CONFIRMADO] </w:t>
            </w:r>
            <w:r>
              <w:rPr>
                <w:sz w:val="18"/>
                <w:szCs w:val="18"/>
              </w:rPr>
              <w:t xml:space="preserve">Para cada decisión sin elegir, aplica el efecto por defecto del catálogo (con frecuencia una variación dentro de un rango, no un valor fijo).</w:t>
            </w:r>
          </w:p>
          <w:p>
            <w:pPr>
              <w:pStyle w:val="ListParagraph"/>
              <w:numPr>
                <w:ilvl w:val="0"/>
                <w:numId w:val="2"/>
              </w:numPr>
              <w:spacing w:after="80"/>
            </w:pPr>
            <w:r>
              <w:rPr>
                <w:b/>
                <w:bCs/>
                <w:color w:val="1B7A3D"/>
                <w:sz w:val="16"/>
                <w:szCs w:val="16"/>
              </w:rPr>
              <w:t xml:space="preserve">[CONFIRMADO] </w:t>
            </w:r>
            <w:r>
              <w:rPr>
                <w:sz w:val="18"/>
                <w:szCs w:val="18"/>
              </w:rPr>
              <w:t xml:space="preserve">Calcula el efecto de cada decisión tomada sobre los indicadores correspondientes.</w:t>
            </w:r>
          </w:p>
          <w:p>
            <w:pPr>
              <w:pStyle w:val="ListParagraph"/>
              <w:numPr>
                <w:ilvl w:val="0"/>
                <w:numId w:val="2"/>
              </w:numPr>
              <w:spacing w:after="80"/>
            </w:pPr>
            <w:r>
              <w:rPr>
                <w:b/>
                <w:bCs/>
                <w:color w:val="1B7A3D"/>
                <w:sz w:val="16"/>
                <w:szCs w:val="16"/>
              </w:rPr>
              <w:t xml:space="preserve">[CONFIRMADO] </w:t>
            </w:r>
            <w:r>
              <w:rPr>
                <w:sz w:val="18"/>
                <w:szCs w:val="18"/>
              </w:rPr>
              <w:t xml:space="preserve">Recalcula la participación de mercado de todas las empresas de un mismo mercado en conjunto: lo que una pierde se redistribuye entre las demás.</w:t>
            </w:r>
          </w:p>
          <w:p>
            <w:pPr>
              <w:pStyle w:val="ListParagraph"/>
              <w:numPr>
                <w:ilvl w:val="0"/>
                <w:numId w:val="2"/>
              </w:numPr>
              <w:spacing w:after="80"/>
            </w:pPr>
            <w:r>
              <w:rPr>
                <w:b/>
                <w:bCs/>
                <w:color w:val="1B7A3D"/>
                <w:sz w:val="16"/>
                <w:szCs w:val="16"/>
              </w:rPr>
              <w:t xml:space="preserve">[CONFIRMADO] </w:t>
            </w:r>
            <w:r>
              <w:rPr>
                <w:sz w:val="18"/>
                <w:szCs w:val="18"/>
              </w:rPr>
              <w:t xml:space="preserve">Actualiza estados financieros: utilidad neta → flujo de caja → capital de trabajo, pago de obligaciones y reparto/capitalización de utilidades.</w:t>
            </w:r>
          </w:p>
        </w:tc>
        <w:tc>
          <w:tcPr>
            <w:tcW w:type="dxa" w:w="2850"/>
            <w:tcMar>
              <w:top w:type="dxa" w:w="120"/>
              <w:left w:type="dxa" w:w="120"/>
              <w:bottom w:type="dxa" w:w="120"/>
              <w:right w:type="dxa" w:w="120"/>
            </w:tcMar>
            <w:vAlign w:val="top"/>
          </w:tcPr>
          <w:p>
            <w:pPr>
              <w:pStyle w:val="ListParagraph"/>
              <w:numPr>
                <w:ilvl w:val="0"/>
                <w:numId w:val="2"/>
              </w:numPr>
              <w:spacing w:after="80"/>
            </w:pPr>
            <w:r>
              <w:rPr>
                <w:b/>
                <w:bCs/>
                <w:color w:val="8A6D00"/>
                <w:sz w:val="16"/>
                <w:szCs w:val="16"/>
              </w:rPr>
              <w:t xml:space="preserve">[INFERENCIA] </w:t>
            </w:r>
            <w:r>
              <w:rPr>
                <w:sz w:val="18"/>
                <w:szCs w:val="18"/>
              </w:rPr>
              <w:t xml:space="preserve">Genera y actualiza los reportes/indicadores visibles por empresa y por período.</w:t>
            </w:r>
          </w:p>
        </w:tc>
      </w:tr>
    </w:tbl>
    <w:p>
      <w:pPr>
        <w:spacing w:after="120" w:before="100"/>
      </w:pPr>
      <w:r>
        <w:rPr>
          <w:i/>
          <w:iCs/>
          <w:color w:val="555555"/>
          <w:sz w:val="15"/>
          <w:szCs w:val="15"/>
        </w:rPr>
        <w:t xml:space="preserve">* El cliente describe Docente y Admin como “casi lo mismo”; se presentan combinados hasta confirmar si difieren en permisos.</w:t>
      </w:r>
    </w:p>
    <w:p>
      <w:pPr>
        <w:spacing w:after="140" w:before="200"/>
      </w:pPr>
      <w:r>
        <w:rPr>
          <w:b/>
          <w:bCs/>
          <w:sz w:val="24"/>
          <w:szCs w:val="24"/>
        </w:rPr>
        <w:t xml:space="preserve">Reglas de Negocio Clave e Interacción entre Roles</w:t>
      </w:r>
    </w:p>
    <w:p>
      <w:pPr>
        <w:spacing w:after="160"/>
      </w:pPr>
      <w:r>
        <w:rPr>
          <w:b/>
          <w:bCs/>
          <w:color w:val="1B7A3D"/>
          <w:sz w:val="18"/>
          <w:szCs w:val="18"/>
        </w:rPr>
        <w:t xml:space="preserve">[CONFIRMADO] </w:t>
      </w:r>
      <w:r>
        <w:rPr>
          <w:b/>
          <w:bCs/>
          <w:sz w:val="20"/>
          <w:szCs w:val="20"/>
        </w:rPr>
        <w:t xml:space="preserve">No Decisión No Es Neutral: </w:t>
      </w:r>
      <w:r>
        <w:rPr>
          <w:sz w:val="20"/>
          <w:szCs w:val="20"/>
        </w:rPr>
        <w:t xml:space="preserve">Si un participante no elige ninguna opción en una categoría de decisión dentro del período, el Sistema aplica igual el efecto de la opción “no hacer nada” del catálogo — el cálculo nunca se omite. (“el no tomar ninguna acción va a tener una penalidad… las cosas pasan aunque usted no cambie nada”).</w:t>
      </w:r>
    </w:p>
    <w:p>
      <w:pPr>
        <w:spacing w:after="160"/>
      </w:pPr>
      <w:r>
        <w:rPr>
          <w:b/>
          <w:bCs/>
          <w:color w:val="1B7A3D"/>
          <w:sz w:val="18"/>
          <w:szCs w:val="18"/>
        </w:rPr>
        <w:t xml:space="preserve">[CONFIRMADO] </w:t>
      </w:r>
      <w:r>
        <w:rPr>
          <w:b/>
          <w:bCs/>
          <w:sz w:val="20"/>
          <w:szCs w:val="20"/>
        </w:rPr>
        <w:t xml:space="preserve">Variabilidad Controlada por Rango: </w:t>
      </w:r>
      <w:r>
        <w:rPr>
          <w:sz w:val="20"/>
          <w:szCs w:val="20"/>
        </w:rPr>
        <w:t xml:space="preserve">Muchos efectos —incluida la opción “no hacer nada”— no son un valor fijo sino un rango del cual el Sistema sortea un valor específico por empresa: dos empresas con la misma decisión no obtienen necesariamente el mismo resultado. (“un aleatorio entre el 1 y el 3%… para que no se les caiga igual a ambos”).</w:t>
      </w:r>
    </w:p>
    <w:p>
      <w:pPr>
        <w:spacing w:after="160"/>
      </w:pPr>
      <w:r>
        <w:rPr>
          <w:b/>
          <w:bCs/>
          <w:color w:val="1B7A3D"/>
          <w:sz w:val="18"/>
          <w:szCs w:val="18"/>
        </w:rPr>
        <w:t xml:space="preserve">[CONFIRMADO] </w:t>
      </w:r>
      <w:r>
        <w:rPr>
          <w:b/>
          <w:bCs/>
          <w:sz w:val="20"/>
          <w:szCs w:val="20"/>
        </w:rPr>
        <w:t xml:space="preserve">Redistribución de Participación de Mercado: </w:t>
      </w:r>
      <w:r>
        <w:rPr>
          <w:sz w:val="20"/>
          <w:szCs w:val="20"/>
        </w:rPr>
        <w:t xml:space="preserve">La ganancia o pérdida de participación de una empresa se calcula junto con las demás empresas de su mismo mercado en el mismo período, nunca de forma aislada.</w:t>
      </w:r>
    </w:p>
    <w:p>
      <w:pPr>
        <w:spacing w:after="160"/>
      </w:pPr>
      <w:r>
        <w:rPr>
          <w:b/>
          <w:bCs/>
          <w:color w:val="8A6D00"/>
          <w:sz w:val="18"/>
          <w:szCs w:val="18"/>
        </w:rPr>
        <w:t xml:space="preserve">[INFERENCIA] </w:t>
      </w:r>
      <w:r>
        <w:rPr>
          <w:b/>
          <w:bCs/>
          <w:sz w:val="20"/>
          <w:szCs w:val="20"/>
        </w:rPr>
        <w:t xml:space="preserve">Separación entre Catálogo y Decisión Tomada: </w:t>
      </w:r>
      <w:r>
        <w:rPr>
          <w:sz w:val="20"/>
          <w:szCs w:val="20"/>
        </w:rPr>
        <w:t xml:space="preserve">El Sistema mantiene un catálogo configurable de decisiones (texto informativo, opciones y efecto de cada opción) independiente del registro histórico de qué opción eligió cada empresa por período. Se infiere directamente de cómo el cliente describe la interfaz de decisión, no es una cita textual de una regla de negocio.</w:t>
      </w:r>
    </w:p>
    <w:p>
      <w:pPr>
        <w:spacing w:after="160"/>
      </w:pPr>
      <w:r>
        <w:rPr>
          <w:b/>
          <w:bCs/>
          <w:color w:val="B00020"/>
          <w:sz w:val="18"/>
          <w:szCs w:val="18"/>
        </w:rPr>
        <w:t xml:space="preserve">[POR CONFIRMAR] </w:t>
      </w:r>
      <w:r>
        <w:rPr>
          <w:b/>
          <w:bCs/>
          <w:sz w:val="20"/>
          <w:szCs w:val="20"/>
        </w:rPr>
        <w:t xml:space="preserve">Trazabilidad del Cálculo Aleatorio: </w:t>
      </w:r>
      <w:r>
        <w:rPr>
          <w:sz w:val="20"/>
          <w:szCs w:val="20"/>
        </w:rPr>
        <w:t xml:space="preserve">¿El valor sorteado dentro de un rango (ver regla 2) debe almacenarse para que el resultado de un período sea reproducible y defendible ante un reclamo del estudiante, o puede recalcularse cada vez? Pendiente de decidir con el cliente.</w:t>
      </w:r>
    </w:p>
    <w:p>
      <w:pPr>
        <w:spacing w:after="160"/>
      </w:pPr>
      <w:r>
        <w:rPr>
          <w:b/>
          <w:bCs/>
          <w:color w:val="B00020"/>
          <w:sz w:val="18"/>
          <w:szCs w:val="18"/>
        </w:rPr>
        <w:t xml:space="preserve">[POR CONFIRMAR] </w:t>
      </w:r>
      <w:r>
        <w:rPr>
          <w:b/>
          <w:bCs/>
          <w:sz w:val="20"/>
          <w:szCs w:val="20"/>
        </w:rPr>
        <w:t xml:space="preserve">Dependencia entre Categorías de Decisión: </w:t>
      </w:r>
      <w:r>
        <w:rPr>
          <w:sz w:val="20"/>
          <w:szCs w:val="20"/>
        </w:rPr>
        <w:t xml:space="preserve">En simuladores de referencia consultados, algunas decisiones dependen de otras ya tomadas (p. ej. no se puede fijar precio en un mercado donde antes no se decidió participar). No está confirmado si esta dependencia aplica a este proyecto.</w:t>
      </w:r>
    </w:p>
    <w:sectPr>
      <w:pgSz w:w="15840" w:h="12240" w:orient="landscape"/>
      <w:pgMar w:top="700" w:right="650" w:bottom="7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2026-08-29T23:47:13.468Z</dcterms:created>
  <dcterms:modified xsi:type="dcterms:W3CDTF">2026-08-29T23:47:13.468Z</dcterms:modified>
</cp:coreProperties>
</file>

<file path=docProps/custom.xml><?xml version="1.0" encoding="utf-8"?>
<Properties xmlns="http://schemas.openxmlformats.org/officeDocument/2006/custom-properties" xmlns:vt="http://schemas.openxmlformats.org/officeDocument/2006/docPropsVTypes"/>
</file>