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00A8E8"/>
          <w:sz w:val="18"/>
        </w:rPr>
        <w:t>ISSSP 2026 — TRACK 3: LUNAR SURFACE ROBOTICS · FINALS SCORING CRITERION 2</w:t>
        <w:br/>
      </w:r>
      <w:r>
        <w:rPr>
          <w:rFonts w:ascii="Segoe UI" w:hAnsi="Segoe UI"/>
          <w:b/>
          <w:color w:val="0B2545"/>
          <w:sz w:val="44"/>
        </w:rPr>
        <w:t>Official Competition Poster Specification &amp; Blueprint</w:t>
      </w:r>
    </w:p>
    <w:p>
      <w:pPr>
        <w:spacing w:after="280"/>
      </w:pPr>
      <w:r>
        <w:rPr>
          <w:rFonts w:ascii="Segoe UI" w:hAnsi="Segoe UI"/>
          <w:color w:val="134074"/>
          <w:sz w:val="22"/>
        </w:rPr>
        <w:t>Complete Scientific Poster Copy, Technical Schemes, 3-Column Architectural Layout, and Artistry Design Guidelines (Deadline: 31st Oct — Max Score: 10/10)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B2545"/>
                <w:sz w:val="18"/>
              </w:rPr>
              <w:t xml:space="preserve">Poster Title: </w:t>
            </w:r>
            <w:r>
              <w:rPr>
                <w:color w:val="1E293B"/>
                <w:sz w:val="18"/>
              </w:rPr>
              <w:t>L-MINER Mk-II: Autonomous Multi-Tier Lunar Prospector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B2545"/>
                <w:sz w:val="18"/>
              </w:rPr>
              <w:t xml:space="preserve">Format &amp; Dims: </w:t>
            </w:r>
            <w:r>
              <w:rPr>
                <w:color w:val="1E293B"/>
                <w:sz w:val="18"/>
              </w:rPr>
              <w:t>ISO A0 Portrait (841 x 1189 mm) / 300 DPI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B2545"/>
                <w:sz w:val="18"/>
              </w:rPr>
              <w:t xml:space="preserve">Scoring Focus: </w:t>
            </w:r>
            <w:r>
              <w:rPr>
                <w:color w:val="1E293B"/>
                <w:sz w:val="18"/>
              </w:rPr>
              <w:t>Table 6: Item 2 (Project Scheme, Background, Methods)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B2545"/>
                <w:sz w:val="18"/>
              </w:rPr>
              <w:t xml:space="preserve">Author Roster: </w:t>
            </w:r>
            <w:r>
              <w:rPr>
                <w:color w:val="1E293B"/>
                <w:sz w:val="18"/>
              </w:rPr>
              <w:t>Haider Taqvee, Abdul Wasay, Saad, Hajra (IST Islamabad)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1. Poster Design Specifications &amp; Scoring Mandate</w:t>
      </w:r>
    </w:p>
    <w:p>
      <w:pPr>
        <w:spacing w:line="276" w:lineRule="auto"/>
      </w:pPr>
      <w:r>
        <w:t>According to Table 6 (Finals Scoring Rules of Track 3), the Poster deliverable (due 31st October) carries 10 points. The evaluators score the poster on: 'Project scheme display, Include Team Information, Background Introduction, Research Content And Methods, etc.' Furthermore, it directly influences the 5-point 'Artistry' score in the Finals.</w:t>
      </w:r>
    </w:p>
    <w:p>
      <w:pPr>
        <w:pStyle w:val="ListBullet"/>
        <w:spacing w:after="60" w:line="276" w:lineRule="auto"/>
      </w:pPr>
      <w:r>
        <w:rPr>
          <w:b/>
          <w:color w:val="0B2545"/>
        </w:rPr>
        <w:t xml:space="preserve">Physical Dimensions: </w:t>
      </w:r>
      <w:r>
        <w:t>Standard ISO A0 Portrait (841 mm width x 1189 mm height; 33.1 x 46.8 inches).</w:t>
      </w:r>
    </w:p>
    <w:p>
      <w:pPr>
        <w:pStyle w:val="ListBullet"/>
        <w:spacing w:after="60" w:line="276" w:lineRule="auto"/>
      </w:pPr>
      <w:r>
        <w:rPr>
          <w:b/>
          <w:color w:val="0B2545"/>
        </w:rPr>
        <w:t xml:space="preserve">Digital Canvas: </w:t>
      </w:r>
      <w:r>
        <w:t>9933 x 14043 pixels at 300 DPI (CMYK Color Space for professional high-contrast printing).</w:t>
      </w:r>
    </w:p>
    <w:p>
      <w:pPr>
        <w:pStyle w:val="ListBullet"/>
        <w:spacing w:after="60" w:line="276" w:lineRule="auto"/>
      </w:pPr>
      <w:r>
        <w:rPr>
          <w:b/>
          <w:color w:val="0B2545"/>
        </w:rPr>
        <w:t xml:space="preserve">Grid System: </w:t>
      </w:r>
      <w:r>
        <w:t>3-Column Symmetric Grid with 30 mm margins and 20 mm inter-column gutters.</w:t>
      </w:r>
    </w:p>
    <w:p>
      <w:pPr>
        <w:pStyle w:val="ListBullet"/>
        <w:spacing w:after="60" w:line="276" w:lineRule="auto"/>
      </w:pPr>
      <w:r>
        <w:rPr>
          <w:b/>
          <w:color w:val="0B2545"/>
        </w:rPr>
        <w:t xml:space="preserve">Visual Flow: </w:t>
      </w:r>
      <w:r>
        <w:t>Top Header -&gt; Top-to-Bottom Column 1 (Context &amp; Autonomy) -&gt; Column 2 (Sensors &amp; ML) -&gt; Column 3 (Simulation HUD &amp; ISRU Yield).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A8E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B2545"/>
                <w:sz w:val="20"/>
              </w:rPr>
              <w:t>Judge Scoring Alignment</w:t>
              <w:br/>
            </w:r>
            <w:r>
              <w:rPr>
                <w:rFonts w:ascii="Segoe UI" w:hAnsi="Segoe UI"/>
                <w:color w:val="1E293B"/>
                <w:sz w:val="19"/>
              </w:rPr>
              <w:t>Poster Evaluation Strategy: Judges evaluate scientific clarity, novelty of the technical scheme, and aesthetic readability from a distance of 1.5 to 2.0 meters. Bullet points are concise, diagrams are high-resolution, and equations are explicitly annotated.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2. Poster Header &amp; Team Information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B2545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B2545"/>
                <w:sz w:val="20"/>
              </w:rPr>
              <w:t>Header Panel Copy (Exact Print Text)</w:t>
              <w:br/>
            </w:r>
            <w:r>
              <w:rPr>
                <w:rFonts w:ascii="Segoe UI" w:hAnsi="Segoe UI"/>
                <w:color w:val="1E293B"/>
                <w:sz w:val="19"/>
              </w:rPr>
              <w:t>POSTER TITLE (96 pt Bold):</w:t>
              <w:br/>
              <w:t>L-MINER Mk-II: Autonomous Multi-Tier Rover for Subsurface Lunar Volatile Prospecting and Mineral Classification</w:t>
              <w:br/>
              <w:br/>
              <w:t>SUBTITLE (44 pt Medium):</w:t>
              <w:br/>
              <w:t>Dual-Modality Subsurface GPR and VNIR-SWIR Spectrometry with Edge Machine Learning for Lunar South Pole Cold Traps</w:t>
              <w:br/>
              <w:br/>
              <w:t>AUTHOR LIST (32 pt Semi-Bold):</w:t>
              <w:br/>
              <w:t>Haider Taqvee¹, Abdul Wasay¹, Saad¹, Hajra¹</w:t>
              <w:br/>
              <w:br/>
              <w:t>AFFILIATION (24 pt Regular):</w:t>
              <w:br/>
              <w:t>¹ Department of Space Science &amp; Aeronautics, Institute of Space Technology (IST), Islamabad, Pakistan</w:t>
              <w:br/>
              <w:t>ISSSP 2026 — Track 3: Lunar Surface Robotics and ISRU Exploration | Project ID: LMINER-IST-2026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3. Print-Ready Text Copy Across All Poster Panels</w:t>
      </w:r>
    </w:p>
    <w:p>
      <w:pPr>
        <w:pStyle w:val="Heading2"/>
      </w:pPr>
      <w:r>
        <w:t>Panel 1: Background Introduction &amp; Scientific Problem</w:t>
      </w:r>
    </w:p>
    <w:p>
      <w:pPr>
        <w:spacing w:line="276" w:lineRule="auto"/>
      </w:pPr>
      <w:r>
        <w:t>The Lunar South Pole features Permanently Shadowed Regions (PSRs) where temperatures remain below 40 Kelvin. Orbital datasets (Chandrayaan-1 M³, LRO LAMP) confirm surface frost, but cannot resolve subsurface stratigraphy or volume.</w:t>
        <w:br/>
        <w:br/>
        <w:t>The Ground-Truth Gap: Optical cameras are blinded by darkness and only sample the top 10 microns of dust. Earth teleoperation is impossible due to communication shadows and 3-second roundtrip delays.</w:t>
        <w:br/>
        <w:br/>
        <w:t>Core Mission Objective: Develop an autonomous rover combining subsurface radar sounding (0–3 m) with active optical spectroscopy (0.5–2.5 μm) and edge machine learning to map water ice and titanium-rich minerals in real time.</w:t>
      </w:r>
    </w:p>
    <w:p>
      <w:pPr>
        <w:pStyle w:val="Heading2"/>
      </w:pPr>
      <w:r>
        <w:t>Panel 2: Hierarchical Autonomy Architecture (L0 / L1 / L2)</w:t>
      </w:r>
    </w:p>
    <w:p>
      <w:pPr>
        <w:spacing w:line="276" w:lineRule="auto"/>
      </w:pPr>
      <w:r>
        <w:t>L-MINER implements a 3-tier decoupled autonomy framework guaranteeing mission safety and battery preservation:</w:t>
        <w:br/>
        <w:br/>
        <w:t>• L0 Safety Reflex (10 Hz): Real-time obstacle bypass using HazCam point-clouds. Blocks drive into slopes &gt;15° or boulders &gt;0.75 hazard score.</w:t>
        <w:br/>
        <w:br/>
        <w:t>• L1 Resource &amp; Thermal Manager (1 Hz): Monitors battery state of charge (SoC) and electronics temperatures. Automatically pauses scans at SoC &lt; 30% or T &gt; 50°C and initiates solar panel recharge cycles.</w:t>
        <w:br/>
        <w:br/>
        <w:t>• L2 Science Prospecting (On Demand): Executes multi-physics sensor sounding, edge feature engineering, and Random Forest classification upon reaching designated science coordinates.</w:t>
      </w:r>
    </w:p>
    <w:p>
      <w:pPr>
        <w:pStyle w:val="Heading2"/>
      </w:pPr>
      <w:r>
        <w:t>Panel 3: Multi-Physics Sensor Simulation &amp; Physical Modeling</w:t>
      </w:r>
    </w:p>
    <w:p>
      <w:pPr>
        <w:spacing w:line="276" w:lineRule="auto"/>
      </w:pPr>
      <w:r>
        <w:t>Synthetic sensor modeling grounded in Apollo 11/12 sample returns and USGS splib07 spectral libraries:</w:t>
        <w:br/>
        <w:br/>
        <w:t>• Ground Penetrating Radar (500 MHz): Synthesizes 128 x 256 B-scan profiles across 0–3.0 m depth. Reflects via dielectric permittivity contrast: Water Ice (A=0.85, width 3), Pyroxene (A=0.65), Ilmenite (A=0.55), Regolith (A=0.30).</w:t>
        <w:br/>
        <w:br/>
        <w:t>• VNIR-SWIR Spectrometer (0.5–2.5 μm, 200 channels): Active illuminator enables sensing inside dark craters. Captures diagnostic absorption bands: Water Ice (1.25, 1.5, 2.0 μm), Pyroxene (1.0 &amp; 2.0 μm Fe²⁺ crystal field bands), Ilmenite (Fe-Ti charge transfer flattening, R ~ 0.07), and space-weathered regolith red slope.</w:t>
      </w:r>
    </w:p>
    <w:p>
      <w:pPr>
        <w:pStyle w:val="Heading2"/>
      </w:pPr>
      <w:r>
        <w:t>Panel 4: Edge Feature Extraction &amp; Machine Learning Classification</w:t>
      </w:r>
    </w:p>
    <w:p>
      <w:pPr>
        <w:spacing w:line="276" w:lineRule="auto"/>
      </w:pPr>
      <w:r>
        <w:t>Edge Data Reduction: Reduces 32,968 raw floats into a 10-dimensional feature vector (3,300x compression):</w:t>
        <w:br/>
        <w:t xml:space="preserve">  [0–3] GPR Features: Max amplitude, mean energy, layer standard deviation, peak echo depth.</w:t>
        <w:br/>
        <w:t xml:space="preserve">  [4–9] Spectral Features: Mean albedo, R(1.0 μm), R(1.5 μm), R(2.0 μm), spectral slope, 1.5 μm band depth.</w:t>
        <w:br/>
        <w:br/>
        <w:t>Random Forest Classifier (100 Trees, Gini Impurity):</w:t>
        <w:br/>
        <w:t>• 95.8% Overall Multiclass Test Accuracy (Water Ice: 99.2%, Ilmenite: 96.5%, Pyroxene: 94.8%, Regolith: 92.5%).</w:t>
        <w:br/>
        <w:t>• Sub-15 ms Inference Latency on radiation-tolerant ARM Cortex-R5 / RTG4 FPGA embedded processors.</w:t>
      </w:r>
    </w:p>
    <w:p>
      <w:pPr>
        <w:pStyle w:val="Heading2"/>
      </w:pPr>
      <w:r>
        <w:t>Panel 5: Interactive 3D Digital Twin &amp; Mission Control HUD</w:t>
      </w:r>
    </w:p>
    <w:p>
      <w:pPr>
        <w:spacing w:line="276" w:lineRule="auto"/>
      </w:pPr>
      <w:r>
        <w:t>Full cyber-physical demonstration environment built with Streamlit and Plotly WebGL:</w:t>
        <w:br/>
        <w:br/>
        <w:t>• 3D Lunar Polar Digital Twin: High-density 96 x 96 crater terrain mesh with 3° low-angle polar solar illumination, 6-wheel rocker-bogie rover mesh, terrain-following pitch/roll adaptation, and subsurface deposit spheres sized by ML confidence.</w:t>
        <w:br/>
        <w:br/>
        <w:t>• Aerospace Mission HUD: Real-time telemetry cards, dual GPR B-scan + A-scan energy plots, USGS laboratory benchmark overlay curves, and autonomous survey sequence controls.</w:t>
      </w:r>
    </w:p>
    <w:p>
      <w:pPr>
        <w:pStyle w:val="Heading2"/>
      </w:pPr>
      <w:r>
        <w:t>Panel 6: Quantitative ISRU Yields &amp; Mission Impact</w:t>
      </w:r>
    </w:p>
    <w:p>
      <w:pPr>
        <w:spacing w:line="276" w:lineRule="auto"/>
      </w:pPr>
      <w:r>
        <w:t>In-Situ Resource Utilization (ISRU) Potential:</w:t>
        <w:br/>
        <w:t>• In a 6 x 6 grid survey (60 x 60 m zone), 7 water ice deposits were localized at average 0.9 m depth.</w:t>
        <w:br/>
        <w:t>• Yield Calculation: 7 cells x (100 m² x 1.0 m thickness x 1500 kg/m³ density x 5.5 wt% ice) = ~57.8 Tonnes H₂O.</w:t>
        <w:br/>
        <w:t>• Enables production of ~51.4 Tonnes of Liquid Oxygen (LOX) and ~6.4 Tonnes of Liquid Hydrogen (LH2) propellant, sufficient to refuel two lunar ascent vehicles for return to Earth orbit.</w:t>
      </w:r>
    </w:p>
    <w:p>
      <w:pPr>
        <w:pStyle w:val="Heading1"/>
        <w:spacing w:before="280" w:after="120"/>
      </w:pPr>
      <w:r>
        <w:t>4. Poster Layout Wireframe &amp; Graphic Design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Column 1 (Width: 247 mm)</w:t>
            </w:r>
          </w:p>
        </w:tc>
        <w:tc>
          <w:tcPr>
            <w:tcW w:type="dxa" w:w="3264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Column 2 (Width: 247 mm)</w:t>
            </w:r>
          </w:p>
        </w:tc>
        <w:tc>
          <w:tcPr>
            <w:tcW w:type="dxa" w:w="3264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Column 3 (Width: 247 mm)</w:t>
            </w:r>
          </w:p>
        </w:tc>
      </w:tr>
      <w:tr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SECTION 1: MISSION DRIVERS</w:t>
              <w:br/>
              <w:t>• Lunar South Pole Cold Traps</w:t>
              <w:br/>
              <w:t>• Ground Truth Gap diagram</w:t>
              <w:br/>
              <w:t>• High-contrast crater photo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SECTION 3: SENSORS &amp; PHYSICS</w:t>
              <w:br/>
              <w:t>• 500 MHz GPR underbelly diagram</w:t>
              <w:br/>
              <w:t>• VNIR-SWIR Spectrometer arm</w:t>
              <w:br/>
              <w:t>• Dielectric vs Reflectance curves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SECTION 5: 3D DIGITAL TWIN</w:t>
              <w:br/>
              <w:t>• 3D Rover mesh on polar terrain</w:t>
              <w:br/>
              <w:t>• Subterranean deposit ellipsoids</w:t>
              <w:br/>
              <w:t>• GPR sounding radar cone render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SECTION 2: HIERARCHICAL AUTONOMY</w:t>
              <w:br/>
              <w:t>• L0 Safety Reflex state diagram</w:t>
              <w:br/>
              <w:t>• L1 Battery &amp; Thermal thresholds</w:t>
              <w:br/>
              <w:t>• L2 Science trigger logic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SECTION 4: MACHINE LEARNING</w:t>
              <w:br/>
              <w:t>• 10-D Feature extraction flowchart</w:t>
              <w:br/>
              <w:t>• Random Forest architecture</w:t>
              <w:br/>
              <w:t>• Confusion Matrix (95.8% Acc)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SECTION 6: ISRU VOLATILE MAP</w:t>
              <w:br/>
              <w:t>• 6x6 Survey grid resource map</w:t>
              <w:br/>
              <w:t>• ~57.8 Tonnes Water Ice calculation</w:t>
              <w:br/>
              <w:t>• LOX/LH2 Propellant production chart</w:t>
            </w:r>
          </w:p>
        </w:tc>
      </w:tr>
      <w:tr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FIGURE 1:</w:t>
              <w:br/>
              <w:t>Rover mechanical layout &amp; sensor integration callouts.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FIGURE 2:</w:t>
              <w:br/>
              <w:t>GPR B-scan paired with A-scan energy profile &amp; USGS comparison.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FIGURE 3:</w:t>
              <w:br/>
              <w:t>Live Streamlit Mission HUD screenshot with real-time telemetry.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PANEL FOOTER 1:</w:t>
              <w:br/>
              <w:t>Funding &amp; IST Department Acknowledgments.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PANEL FOOTER 2:</w:t>
              <w:br/>
              <w:t>Key References (Apollo, USGS splib07, Chandrayaan-1 M³).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PANEL FOOTER 3:</w:t>
              <w:br/>
              <w:t>QR Code linking to live interactive simulation.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5. Color Palette &amp; Typography Specifications (Artistry - 5 Pts)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3407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Color Role</w:t>
            </w:r>
          </w:p>
        </w:tc>
        <w:tc>
          <w:tcPr>
            <w:tcW w:type="dxa" w:w="2448"/>
            <w:shd w:fill="13407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Hex Code</w:t>
            </w:r>
          </w:p>
        </w:tc>
        <w:tc>
          <w:tcPr>
            <w:tcW w:type="dxa" w:w="2448"/>
            <w:shd w:fill="13407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RGB Values</w:t>
            </w:r>
          </w:p>
        </w:tc>
        <w:tc>
          <w:tcPr>
            <w:tcW w:type="dxa" w:w="2448"/>
            <w:shd w:fill="13407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Application on Poster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Deep Space Black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#030712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RGB(3, 7, 18)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Poster background, header background, terminal blocks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Cyan Telemetry Accent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#00E5FF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RGB(0, 229, 255)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Water ice features, radar cones, section titles, key metrics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Safety Green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#00E676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RGB(0, 230, 118)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L0 nominal status, Pyroxene mineral indicators, positive callouts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Titanium Amber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#FF9100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RGB(255, 145, 0)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Ilmenite signatures, L1 power warnings, dielectric reflectors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Hazard Red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#FF1744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RGB(255, 23, 68)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Obstacle pillars, collision warning zones, low-power alerts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L-MINER Mk-II | Poster Specification (Track 3) · IST Islamabad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