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/>
        <w:jc w:val="center"/>
      </w:pPr>
      <w:r>
        <w:rPr>
          <w:rFonts w:ascii="Times New Roman" w:hAnsi="Times New Roman"/>
          <w:b/>
          <w:color w:val="0F172A"/>
          <w:sz w:val="26"/>
        </w:rPr>
        <w:t>Final Year Project (FYP) Defense Proposal Form</w:t>
      </w:r>
    </w:p>
    <w:p>
      <w:pPr>
        <w:spacing w:before="40" w:after="40"/>
      </w:pPr>
      <w:r>
        <w:rPr>
          <w:b/>
          <w:sz w:val="21"/>
        </w:rPr>
        <w:t>University/Institute Detail: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7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Name of University/Institution:</w:t>
            </w:r>
          </w:p>
        </w:tc>
        <w:tc>
          <w:tcPr>
            <w:tcW w:type="dxa" w:w="266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Institute of Space Technology</w:t>
            </w:r>
          </w:p>
        </w:tc>
        <w:tc>
          <w:tcPr>
            <w:tcW w:type="dxa" w:w="2088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Physical Address:</w:t>
            </w:r>
          </w:p>
        </w:tc>
        <w:tc>
          <w:tcPr>
            <w:tcW w:type="dxa" w:w="309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1, Islamabad Highway, Islamabad, 44000</w:t>
            </w:r>
          </w:p>
        </w:tc>
      </w:tr>
      <w:tr>
        <w:tc>
          <w:tcPr>
            <w:tcW w:type="dxa" w:w="237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Telephone &amp; Fax No:</w:t>
            </w:r>
          </w:p>
        </w:tc>
        <w:tc>
          <w:tcPr>
            <w:tcW w:type="dxa" w:w="266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+92-51-9075100</w:t>
              <w:br/>
              <w:t>+92-51-9273310</w:t>
            </w:r>
          </w:p>
        </w:tc>
        <w:tc>
          <w:tcPr>
            <w:tcW w:type="dxa" w:w="2088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Department Name:</w:t>
            </w:r>
          </w:p>
        </w:tc>
        <w:tc>
          <w:tcPr>
            <w:tcW w:type="dxa" w:w="309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Department of Space Science</w:t>
            </w:r>
          </w:p>
        </w:tc>
      </w:tr>
      <w:tr>
        <w:tc>
          <w:tcPr>
            <w:tcW w:type="dxa" w:w="237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City:</w:t>
            </w:r>
          </w:p>
        </w:tc>
        <w:tc>
          <w:tcPr>
            <w:tcW w:type="dxa" w:w="266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Islamabad</w:t>
            </w:r>
          </w:p>
        </w:tc>
        <w:tc>
          <w:tcPr>
            <w:tcW w:type="dxa" w:w="2088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Province:</w:t>
            </w:r>
          </w:p>
        </w:tc>
        <w:tc>
          <w:tcPr>
            <w:tcW w:type="dxa" w:w="309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Islamabad Capital Territory (ICT)</w:t>
            </w:r>
          </w:p>
        </w:tc>
      </w:tr>
    </w:tbl>
    <w:p>
      <w:pPr>
        <w:spacing w:before="100" w:after="40"/>
      </w:pPr>
      <w:r>
        <w:rPr>
          <w:b/>
          <w:sz w:val="21"/>
        </w:rPr>
        <w:t>Nominated Project Details:-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7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Project Supervisor Name and Designation:</w:t>
            </w:r>
          </w:p>
        </w:tc>
        <w:tc>
          <w:tcPr>
            <w:tcW w:type="dxa" w:w="266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Dr. Munawar Ali Shah</w:t>
              <w:br/>
              <w:t>Assistant Professor</w:t>
            </w:r>
          </w:p>
        </w:tc>
        <w:tc>
          <w:tcPr>
            <w:tcW w:type="dxa" w:w="2088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Contact Details:</w:t>
            </w:r>
          </w:p>
        </w:tc>
        <w:tc>
          <w:tcPr>
            <w:tcW w:type="dxa" w:w="309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munawar.shah@ist.edu.pk</w:t>
            </w:r>
          </w:p>
        </w:tc>
      </w:tr>
      <w:tr>
        <w:tc>
          <w:tcPr>
            <w:tcW w:type="dxa" w:w="237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Project Supervisor Qualification:</w:t>
            </w:r>
          </w:p>
        </w:tc>
        <w:tc>
          <w:tcPr>
            <w:tcW w:type="dxa" w:w="266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Ph.D. in Geodesy and GNSS</w:t>
            </w:r>
          </w:p>
        </w:tc>
        <w:tc>
          <w:tcPr>
            <w:tcW w:type="dxa" w:w="2088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No. of Publications of Supervisor:</w:t>
            </w:r>
          </w:p>
        </w:tc>
        <w:tc>
          <w:tcPr>
            <w:tcW w:type="dxa" w:w="309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Over 100 peer-reviewed journal and conference publications</w:t>
            </w:r>
          </w:p>
        </w:tc>
      </w:tr>
      <w:tr>
        <w:tc>
          <w:tcPr>
            <w:tcW w:type="dxa" w:w="237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Students Name(s):</w:t>
            </w:r>
          </w:p>
        </w:tc>
        <w:tc>
          <w:tcPr>
            <w:tcW w:type="dxa" w:w="266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1. Mashaf Majeed Janjua</w:t>
              <w:br/>
              <w:t>2. Haider Taqveen</w:t>
            </w:r>
          </w:p>
        </w:tc>
        <w:tc>
          <w:tcPr>
            <w:tcW w:type="dxa" w:w="2088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Students Mobile No:</w:t>
            </w:r>
          </w:p>
        </w:tc>
        <w:tc>
          <w:tcPr>
            <w:tcW w:type="dxa" w:w="309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1. +92-320-5409300</w:t>
              <w:br/>
              <w:t>2. +92-325-9514052</w:t>
            </w:r>
          </w:p>
        </w:tc>
      </w:tr>
      <w:tr>
        <w:tc>
          <w:tcPr>
            <w:tcW w:type="dxa" w:w="237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Students CGPA:</w:t>
            </w:r>
          </w:p>
        </w:tc>
        <w:tc>
          <w:tcPr>
            <w:tcW w:type="dxa" w:w="266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1. 2.31</w:t>
              <w:br/>
              <w:t>2. 2.65</w:t>
            </w:r>
          </w:p>
        </w:tc>
        <w:tc>
          <w:tcPr>
            <w:tcW w:type="dxa" w:w="2088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Students Email:</w:t>
            </w:r>
          </w:p>
        </w:tc>
        <w:tc>
          <w:tcPr>
            <w:tcW w:type="dxa" w:w="309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1. 230601017@ist.edu.pk</w:t>
              <w:br/>
              <w:t>2. 230601020@ist.edu.pk</w:t>
            </w:r>
          </w:p>
        </w:tc>
      </w:tr>
      <w:tr>
        <w:tc>
          <w:tcPr>
            <w:tcW w:type="dxa" w:w="237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Degree Program / Title:</w:t>
            </w:r>
          </w:p>
        </w:tc>
        <w:tc>
          <w:tcPr>
            <w:tcW w:type="dxa" w:w="266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BS Space Science</w:t>
            </w:r>
          </w:p>
        </w:tc>
        <w:tc>
          <w:tcPr>
            <w:tcW w:type="dxa" w:w="2088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/>
                <w:sz w:val="18"/>
              </w:rPr>
              <w:t>Area of Specialization:</w:t>
            </w:r>
          </w:p>
        </w:tc>
        <w:tc>
          <w:tcPr>
            <w:tcW w:type="dxa" w:w="3096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b w:val="0"/>
                <w:sz w:val="18"/>
              </w:rPr>
              <w:t>Remote Sensing &amp; GIS (RS/GIS)</w:t>
            </w:r>
          </w:p>
        </w:tc>
      </w:tr>
    </w:tbl>
    <w:p>
      <w:pPr>
        <w:spacing w:before="100" w:after="40"/>
      </w:pPr>
      <w:r>
        <w:rPr>
          <w:b/>
          <w:sz w:val="21"/>
        </w:rPr>
        <w:t>Final Year Project Details: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shd w:val="clear" w:color="auto"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A. Project Title:</w:t>
            </w:r>
          </w:p>
        </w:tc>
        <w:tc>
          <w:tcPr>
            <w:tcW w:type="dxa" w:w="7632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Multi-Agent Deep Reinforcement Learning for UAV Swarm Navigation in a Geospatial Digital Twin</w:t>
            </w:r>
          </w:p>
        </w:tc>
      </w:tr>
      <w:tr>
        <w:tc>
          <w:tcPr>
            <w:tcW w:type="dxa" w:w="2592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shd w:val="clear" w:color="auto"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B. Project Start Date:</w:t>
            </w:r>
          </w:p>
        </w:tc>
        <w:tc>
          <w:tcPr>
            <w:tcW w:type="dxa" w:w="7632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September 01, 2026  (Fall Semester 2026)</w:t>
            </w:r>
          </w:p>
        </w:tc>
      </w:tr>
      <w:tr>
        <w:tc>
          <w:tcPr>
            <w:tcW w:type="dxa" w:w="2592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shd w:val="clear" w:color="auto"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C. Project Finish Date:</w:t>
            </w:r>
          </w:p>
        </w:tc>
        <w:tc>
          <w:tcPr>
            <w:tcW w:type="dxa" w:w="7632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June 30, 2027  (Spring Semester 2027)</w:t>
            </w:r>
          </w:p>
        </w:tc>
      </w:tr>
    </w:tbl>
    <w:p>
      <w:pPr>
        <w:spacing w:before="100" w:after="40"/>
      </w:pPr>
      <w:r>
        <w:rPr>
          <w:b/>
          <w:sz w:val="20"/>
        </w:rPr>
        <w:t>D. Project Summary (less than 200 words):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FFFFF"/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sz w:val="19"/>
              </w:rPr>
              <w:t>Coordinating autonomous Unmanned Aerial Vehicle (UAV) swarms for search and rescue, disaster assessment, and tactical surveillance in dense urban topographies presents severe trajectory and collision challenges. Physical multi-drone testing is prohibitively expensive, safety-critical, and non-repeatable across hazardous disaster events. This project develops an AI-enabled Geospatial Digital Twin that reconstructs simulation-ready, watertight 3D operational environments from sub-meter optical satellite imagery (SpaceNet 2) and normalized Digital Surface Models (nDSM). Operating within this physics-accurate twin, a Multi-Agent Deep Reinforcement Learning (MADRL) architecture—leveraging Multi-Agent PPO (MAPPO) with Centralized Training and Decentralized Execution (CTDE)—is trained to coordinate 6-DOF autonomous UAV swarms. Drone agents utilize simulated 32-beam LiDAR and GPS-degraded kinematic state estimation to learn cooperative area coverage, dynamic obstacle avoidance, catenary powerline traversal, and acoustic beacon localization. Swarm performance is quantitatively benchmarked against classical 3D A* and decentralized RRT* algorithms across mission completion time, energy efficiency, and safety margins. A real-time 3D mission control HUD provides telemetry observation and spatial analytics for mission commanders.</w:t>
            </w:r>
          </w:p>
          <w:p>
            <w:pPr>
              <w:spacing w:before="20" w:after="0"/>
              <w:jc w:val="right"/>
            </w:pPr>
            <w:r>
              <w:rPr>
                <w:i/>
                <w:color w:val="64748B"/>
                <w:sz w:val="17"/>
              </w:rPr>
              <w:t>[Exact Word Count: 159 words | Verified strictly &lt; 200 words]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sz w:val="22"/>
        </w:rPr>
        <w:t>E. Project Objectives: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 xml:space="preserve">1. Automated 3D Digital Twin Reconstruction: </w:t>
            </w:r>
            <w:r>
              <w:rPr>
                <w:rFonts w:ascii="Times New Roman" w:hAnsi="Times New Roman"/>
                <w:sz w:val="19"/>
              </w:rPr>
              <w:t>To develop an automated geospatial reconstruction toolchain converting high-resolution optical satellite imagery (SpaceNet 2) and DEM topographic elevations into watertight, collision-ready 3D manifold meshes with localized micro-hazards (catenary powerlines and vegetation volumes).</w:t>
            </w:r>
          </w:p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 xml:space="preserve">2. 6-DOF Aerodynamic Swarm Formulation: </w:t>
            </w:r>
            <w:r>
              <w:rPr>
                <w:rFonts w:ascii="Times New Roman" w:hAnsi="Times New Roman"/>
                <w:sz w:val="19"/>
              </w:rPr>
              <w:t>To formulate and simulate 6-DOF quadrotor kinematic and aerodynamic agent models subject to rotor thrust limits, gyroscopic drag, 32-beam LiDAR emulation, and acoustic rescue beacon chirps.</w:t>
            </w:r>
          </w:p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 xml:space="preserve">3. Multi-Agent Reinforcement Learning Engine: </w:t>
            </w:r>
            <w:r>
              <w:rPr>
                <w:rFonts w:ascii="Times New Roman" w:hAnsi="Times New Roman"/>
                <w:sz w:val="19"/>
              </w:rPr>
              <w:t>To design and train a scalable Multi-Agent Deep Reinforcement Learning (MADRL) framework based on Multi-Agent PPO (MAPPO) with Centralized Training and Decentralized Execution (CTDE) for cooperative swarm navigation.</w:t>
            </w:r>
          </w:p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 xml:space="preserve">4. Dynamic Disaster Scenario Emulation: </w:t>
            </w:r>
            <w:r>
              <w:rPr>
                <w:rFonts w:ascii="Times New Roman" w:hAnsi="Times New Roman"/>
                <w:sz w:val="19"/>
              </w:rPr>
              <w:t>To simulate stochastic, high-entropy environmental conditions, including moving obstacles, catenary wire entanglements, wind shear perturbations, individual motor failures, and intermittent communication loss.</w:t>
            </w:r>
          </w:p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 xml:space="preserve">5. Quantitative Benchmarking &amp; Safety Evaluation: </w:t>
            </w:r>
            <w:r>
              <w:rPr>
                <w:rFonts w:ascii="Times New Roman" w:hAnsi="Times New Roman"/>
                <w:sz w:val="19"/>
              </w:rPr>
              <w:t>To benchmark swarm flight metrics against classical centralized 3D A* and decentralized RRT* baselines across mission completion duration, area coverage rate, collision frequency, and energy consumption.</w:t>
            </w:r>
          </w:p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 xml:space="preserve">6. Tactical Mission Control Interface: </w:t>
            </w:r>
            <w:r>
              <w:rPr>
                <w:rFonts w:ascii="Times New Roman" w:hAnsi="Times New Roman"/>
                <w:sz w:val="19"/>
              </w:rPr>
              <w:t>To construct an interactive 3D WebGL tactical HUD and mission telemetry dashboard for real-time visualization of UAV trajectories, battery states, sensor feeds, and mission progress.</w:t>
            </w:r>
          </w:p>
        </w:tc>
      </w:tr>
    </w:tbl>
    <w:p>
      <w:pPr>
        <w:spacing w:before="160" w:after="60"/>
      </w:pPr>
      <w:r>
        <w:rPr>
          <w:b/>
          <w:sz w:val="22"/>
        </w:rPr>
        <w:t>F. Project Implementation Method: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 xml:space="preserve">Stage 1 — Satellite Semantic Extraction &amp; Topography (src/data_prep/): </w:t>
            </w:r>
            <w:r>
              <w:rPr>
                <w:rFonts w:ascii="Times New Roman" w:hAnsi="Times New Roman"/>
                <w:sz w:val="19"/>
              </w:rPr>
              <w:t>The framework consumes 0.3m optical satellite imagery from SpaceNet 2 Las Vegas. A deep convolutional U-Net with ResNet-34 backbone is fine-tuned to extract building footprints (test IoU 0.8062, F1 0.8927). Building masks are vectorized into georeferenced polygons in WGS84 (EPSG:4326). Ground elevations are queried from AWS Terrarium DEM tiles using sub-millisecond bilinear interpolation, while normalized Digital Surface Models (nDSM) and solar shadow trigonometry validate structural building heights.</w:t>
            </w:r>
          </w:p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 xml:space="preserve">Stage 2 — 3D Digital Twin Mesh Manifolding &amp; Micro-Hazards (src/geometry/): </w:t>
            </w:r>
            <w:r>
              <w:rPr>
                <w:rFonts w:ascii="Times New Roman" w:hAnsi="Times New Roman"/>
                <w:sz w:val="19"/>
              </w:rPr>
              <w:t>Extracted polygon cadastre footprints are converted into watertight, manifold 3D polygon meshes via automated Blender Python (bpy) extrusion and polygon triangulation. Critical micro-hazards are procedurally modeled into the airspace: catenary powerlines using hyperbolic cosine equations (y = a · [cosh(x/a) - 1]) between transmission poles, and vegetation canopy exclusion zones using SAVI vegetation masks.</w:t>
            </w:r>
          </w:p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 xml:space="preserve">Stage 3 — Real-Time Physics Simulator &amp; 6-DOF UAV Kinematics (src/physics_sim/): </w:t>
            </w:r>
            <w:r>
              <w:rPr>
                <w:rFonts w:ascii="Times New Roman" w:hAnsi="Times New Roman"/>
                <w:sz w:val="19"/>
              </w:rPr>
              <w:t>The reconstructed geospatial environment is imported into a real-time simulation engine (Unreal Engine 5 Chaos Physics / lightweight headless 3D simulation). Heterogeneous quadrotor agents are modeled under full 6-DOF rigid-body kinematics (rotor thrust, aerodynamic drag, gravitational torque, and battery energy discharge). Each UAV is instrumented with an emulated 32-beam spherical LiDAR rangefinder and an omnidirectional acoustic receiver detecting emergency chirps.</w:t>
            </w:r>
          </w:p>
        </w:tc>
      </w:tr>
    </w:tbl>
    <w:p>
      <w:r>
        <w:br w:type="page"/>
      </w:r>
    </w:p>
    <w:p>
      <w:pPr>
        <w:spacing w:before="0" w:after="60"/>
      </w:pPr>
      <w:r>
        <w:rPr>
          <w:b/>
          <w:sz w:val="22"/>
        </w:rPr>
        <w:t>F. Project Implementation Method (Continued):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 xml:space="preserve">Stage 4 — Multi-Agent Deep Reinforcement Learning Swarm Engine (src/models/): </w:t>
            </w:r>
            <w:r>
              <w:rPr>
                <w:rFonts w:ascii="Times New Roman" w:hAnsi="Times New Roman"/>
                <w:sz w:val="19"/>
              </w:rPr>
              <w:t>Autonomous swarm coordination is governed by Multi-Agent Proximal Policy Optimization (MAPPO) with Centralized Training and Decentralized Execution (CTDE). During training, a centralized value network observes the global spatial state of the digital twin; during execution, decentralized actor networks generate continuous rotor velocity commands based strictly on local 32-beam LiDAR range vectors and inter-agent relative telemetry. A Pareto multi-objective reward function optimizes mission completion, formation cohesion, and collision avoidance.</w:t>
            </w:r>
          </w:p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 xml:space="preserve">Stage 5 — Benchmarking &amp; Tactical Mission HUD: </w:t>
            </w:r>
            <w:r>
              <w:rPr>
                <w:rFonts w:ascii="Times New Roman" w:hAnsi="Times New Roman"/>
                <w:sz w:val="19"/>
              </w:rPr>
              <w:t>The converged MAPPO swarm policy is benchmarked against centralized 3D A* and decentralized RRT* algorithms under dynamic scenarios (moving obstacles, catenary powerlines, motor dropouts, and communication packet loss). An interactive WebGL 3D Mission Control HUD renders real-time UAV trajectories, telemetry cards, and quantitative safety reports.</w:t>
            </w:r>
          </w:p>
        </w:tc>
      </w:tr>
    </w:tbl>
    <w:p>
      <w:pPr>
        <w:spacing w:before="160" w:after="60"/>
      </w:pPr>
      <w:r>
        <w:rPr>
          <w:b/>
          <w:sz w:val="22"/>
        </w:rPr>
        <w:t>G. Key Milestones of the Project with Dates: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S.No.</w:t>
            </w:r>
          </w:p>
        </w:tc>
        <w:tc>
          <w:tcPr>
            <w:tcW w:type="dxa" w:w="216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sz w:val="19"/>
              </w:rPr>
              <w:t>Elapsed Time &amp; Dates</w:t>
            </w:r>
          </w:p>
        </w:tc>
        <w:tc>
          <w:tcPr>
            <w:tcW w:type="dxa" w:w="331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3888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sz w:val="19"/>
              </w:rPr>
              <w:t>Key Deliverables</w:t>
            </w:r>
          </w:p>
        </w:tc>
      </w:tr>
      <w:tr>
        <w:tc>
          <w:tcPr>
            <w:tcW w:type="dxa" w:w="86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</w:t>
            </w:r>
          </w:p>
        </w:tc>
        <w:tc>
          <w:tcPr>
            <w:tcW w:type="dxa" w:w="2160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Month 1</w:t>
              <w:br/>
              <w:t>(Sep 2026)</w:t>
            </w:r>
          </w:p>
        </w:tc>
        <w:tc>
          <w:tcPr>
            <w:tcW w:type="dxa" w:w="3312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Literature Review, System Requirements &amp; Mathematical Modeling</w:t>
            </w:r>
          </w:p>
        </w:tc>
        <w:tc>
          <w:tcPr>
            <w:tcW w:type="dxa" w:w="3888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Comprehensive literature review, 6-DOF kinematic formulations, and system architecture specification document.</w:t>
            </w:r>
          </w:p>
        </w:tc>
      </w:tr>
      <w:tr>
        <w:tc>
          <w:tcPr>
            <w:tcW w:type="dxa" w:w="86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2.</w:t>
            </w:r>
          </w:p>
        </w:tc>
        <w:tc>
          <w:tcPr>
            <w:tcW w:type="dxa" w:w="2160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Months 2–3</w:t>
              <w:br/>
              <w:t>(Oct–Nov 2026)</w:t>
            </w:r>
          </w:p>
        </w:tc>
        <w:tc>
          <w:tcPr>
            <w:tcW w:type="dxa" w:w="3312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Satellite Extraction Pipeline &amp; 3D Geospatial Digital Twin</w:t>
            </w:r>
          </w:p>
        </w:tc>
        <w:tc>
          <w:tcPr>
            <w:tcW w:type="dxa" w:w="3888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Trained U-Net footprint segmentation model, vectorized building cadastre, nDSM height model, and automated watertight 3D mesh generator.</w:t>
            </w:r>
          </w:p>
        </w:tc>
      </w:tr>
      <w:tr>
        <w:tc>
          <w:tcPr>
            <w:tcW w:type="dxa" w:w="86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3.</w:t>
            </w:r>
          </w:p>
        </w:tc>
        <w:tc>
          <w:tcPr>
            <w:tcW w:type="dxa" w:w="2160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Months 4–5</w:t>
              <w:br/>
              <w:t>(Dec 2026–Jan 2027)</w:t>
            </w:r>
          </w:p>
        </w:tc>
        <w:tc>
          <w:tcPr>
            <w:tcW w:type="dxa" w:w="3312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Physics-Based Multi-UAV Simulation &amp; MAPPO RL Training</w:t>
            </w:r>
          </w:p>
        </w:tc>
        <w:tc>
          <w:tcPr>
            <w:tcW w:type="dxa" w:w="3888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Multi-agent simulation engine with 32-beam LiDAR emulation, converged MAPPO policy weights, and acoustic beacon search behavior.</w:t>
            </w:r>
          </w:p>
        </w:tc>
      </w:tr>
      <w:tr>
        <w:tc>
          <w:tcPr>
            <w:tcW w:type="dxa" w:w="86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4.</w:t>
            </w:r>
          </w:p>
        </w:tc>
        <w:tc>
          <w:tcPr>
            <w:tcW w:type="dxa" w:w="2160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Months 6–7</w:t>
              <w:br/>
              <w:t>(Feb–Mar 2027)</w:t>
            </w:r>
          </w:p>
        </w:tc>
        <w:tc>
          <w:tcPr>
            <w:tcW w:type="dxa" w:w="3312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Dynamic Scenario Stress-Testing &amp; Algorithmic Benchmarking</w:t>
            </w:r>
          </w:p>
        </w:tc>
        <w:tc>
          <w:tcPr>
            <w:tcW w:type="dxa" w:w="3888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8FAFC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Empirical test results across moving obstacles, wire entanglements, and UAV failures; quantitative comparisons vs 3D A* and RRT*.</w:t>
            </w:r>
          </w:p>
        </w:tc>
      </w:tr>
      <w:tr>
        <w:tc>
          <w:tcPr>
            <w:tcW w:type="dxa" w:w="86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5.</w:t>
            </w:r>
          </w:p>
        </w:tc>
        <w:tc>
          <w:tcPr>
            <w:tcW w:type="dxa" w:w="2160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Month 8</w:t>
              <w:br/>
              <w:t>(Apr–May 2027)</w:t>
            </w:r>
          </w:p>
        </w:tc>
        <w:tc>
          <w:tcPr>
            <w:tcW w:type="dxa" w:w="3312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Tactical HUD Integration, Final Demonstration &amp; Thesis Defense</w:t>
            </w:r>
          </w:p>
        </w:tc>
        <w:tc>
          <w:tcPr>
            <w:tcW w:type="dxa" w:w="3888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Interactive 3D WebGL mission control interface, complete software repository, finalized BS Space Science thesis dissertation, and oral defense.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b/>
          <w:sz w:val="22"/>
        </w:rPr>
        <w:t>H. Final Deliverable of the Project: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9" w:lineRule="auto" w:after="40"/>
            </w:pPr>
            <w:r>
              <w:rPr>
                <w:rFonts w:ascii="Times New Roman" w:hAnsi="Times New Roman"/>
                <w:b/>
                <w:sz w:val="19"/>
              </w:rPr>
              <w:t xml:space="preserve">1. End-to-End Software System: </w:t>
            </w:r>
            <w:r>
              <w:rPr>
                <w:rFonts w:ascii="Times New Roman" w:hAnsi="Times New Roman"/>
                <w:sz w:val="19"/>
              </w:rPr>
              <w:t>Fully automated software toolchain for satellite building extraction, 3D mesh manifold reconstruction, and multi-agent flight simulation.</w:t>
            </w:r>
          </w:p>
          <w:p>
            <w:pPr>
              <w:spacing w:line="259" w:lineRule="auto" w:after="40"/>
            </w:pPr>
            <w:r>
              <w:rPr>
                <w:rFonts w:ascii="Times New Roman" w:hAnsi="Times New Roman"/>
                <w:b/>
                <w:sz w:val="19"/>
              </w:rPr>
              <w:t xml:space="preserve">2. Autonomous Swarm Policy Checkpoints: </w:t>
            </w:r>
            <w:r>
              <w:rPr>
                <w:rFonts w:ascii="Times New Roman" w:hAnsi="Times New Roman"/>
                <w:sz w:val="19"/>
              </w:rPr>
              <w:t>Converged PyTorch neural network checkpoints implementing decentralized cooperative navigation and hazard avoidance.</w:t>
            </w:r>
          </w:p>
          <w:p>
            <w:pPr>
              <w:spacing w:line="259" w:lineRule="auto" w:after="40"/>
            </w:pPr>
            <w:r>
              <w:rPr>
                <w:rFonts w:ascii="Times New Roman" w:hAnsi="Times New Roman"/>
                <w:b/>
                <w:sz w:val="19"/>
              </w:rPr>
              <w:t xml:space="preserve">3. Quantitative Simulation &amp; Comparative Study: </w:t>
            </w:r>
            <w:r>
              <w:rPr>
                <w:rFonts w:ascii="Times New Roman" w:hAnsi="Times New Roman"/>
                <w:sz w:val="19"/>
              </w:rPr>
              <w:t>Comprehensive comparative benchmarking dataset validating swarm flight performance against 3D A* and decentralized RRT*.</w:t>
            </w:r>
          </w:p>
          <w:p>
            <w:pPr>
              <w:spacing w:line="259" w:lineRule="auto" w:after="40"/>
            </w:pPr>
            <w:r>
              <w:rPr>
                <w:rFonts w:ascii="Times New Roman" w:hAnsi="Times New Roman"/>
                <w:b/>
                <w:sz w:val="19"/>
              </w:rPr>
              <w:t xml:space="preserve">4. High-Fidelity Simulator &amp; Tactical HUD: </w:t>
            </w:r>
            <w:r>
              <w:rPr>
                <w:rFonts w:ascii="Times New Roman" w:hAnsi="Times New Roman"/>
                <w:sz w:val="19"/>
              </w:rPr>
              <w:t>3D simulation environment and interactive WebGL Mission Control HUD for real-time mission telemetry and spatial analytics.</w:t>
            </w:r>
          </w:p>
        </w:tc>
      </w:tr>
    </w:tbl>
    <w:p>
      <w:pPr>
        <w:spacing w:before="120" w:after="40"/>
      </w:pPr>
      <w:r>
        <w:rPr>
          <w:b/>
          <w:sz w:val="22"/>
        </w:rPr>
        <w:t>I. Please Specify Technical Details of Final Deliverable: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1. Virtual Geospatial Environment: </w:t>
            </w:r>
            <w:r>
              <w:rPr>
                <w:rFonts w:ascii="Times New Roman" w:hAnsi="Times New Roman"/>
                <w:sz w:val="18"/>
              </w:rPr>
              <w:t>Cadastre-grade 3D environment generated from SpaceNet 2 satellite tiles, georeferenced in WGS84 (EPSG:4326), featuring accurate building geometries, terrain topography, and restricted flight volumes.</w:t>
            </w:r>
          </w:p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2. Digital Twin State Engine: </w:t>
            </w:r>
            <w:r>
              <w:rPr>
                <w:rFonts w:ascii="Times New Roman" w:hAnsi="Times New Roman"/>
                <w:sz w:val="18"/>
              </w:rPr>
              <w:t>Real-time spatial state manager synchronizing environmental changes, multi-agent position histories, and dynamic threat boundaries.</w:t>
            </w:r>
          </w:p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3. Multi-UAV Simulation Module: </w:t>
            </w:r>
            <w:r>
              <w:rPr>
                <w:rFonts w:ascii="Times New Roman" w:hAnsi="Times New Roman"/>
                <w:sz w:val="18"/>
              </w:rPr>
              <w:t>Physics-based kinematic engine simulating heterogeneous quadrotor agents under 6-DOF rigid-body dynamics, aerodynamic rotor drag, and battery discharge curves.</w:t>
            </w:r>
          </w:p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4. AI Swarm-Control Module: </w:t>
            </w:r>
            <w:r>
              <w:rPr>
                <w:rFonts w:ascii="Times New Roman" w:hAnsi="Times New Roman"/>
                <w:sz w:val="18"/>
              </w:rPr>
              <w:t>MAPPO multi-agent reinforcement learning architecture utilizing Centralized Training with Decentralized Execution (CTDE) for collision-free cooperative navigation.</w:t>
            </w:r>
          </w:p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5. Dynamic Scenario Generator: </w:t>
            </w:r>
            <w:r>
              <w:rPr>
                <w:rFonts w:ascii="Times New Roman" w:hAnsi="Times New Roman"/>
                <w:sz w:val="18"/>
              </w:rPr>
              <w:t>Simulation module injecting moving obstacles, localized wind gusts, catenary wire obstacles, and UAV communication packet dropouts.</w:t>
            </w:r>
          </w:p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6. Mission Management Module: </w:t>
            </w:r>
            <w:r>
              <w:rPr>
                <w:rFonts w:ascii="Times New Roman" w:hAnsi="Times New Roman"/>
                <w:sz w:val="18"/>
              </w:rPr>
              <w:t>Mission coordinator managing search patterns, acoustic rescue beacon homing, formation tracking, and automated return-to-base protocols.</w:t>
            </w:r>
          </w:p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7. Performance Evaluation Module: </w:t>
            </w:r>
            <w:r>
              <w:rPr>
                <w:rFonts w:ascii="Times New Roman" w:hAnsi="Times New Roman"/>
                <w:sz w:val="18"/>
              </w:rPr>
              <w:t>Automated logging engine tracking mission completion duration, area coverage rate, collision frequency, and energy consumption (Wh).</w:t>
            </w:r>
          </w:p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8. Tactical Visualization Interface: </w:t>
            </w:r>
            <w:r>
              <w:rPr>
                <w:rFonts w:ascii="Times New Roman" w:hAnsi="Times New Roman"/>
                <w:sz w:val="18"/>
              </w:rPr>
              <w:t>Interactive 3D WebGL HUD rendering swarm trajectories, drone health telemetries, and operational status cycling.</w:t>
            </w:r>
          </w:p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9. Experimental Benchmark Suite: </w:t>
            </w:r>
            <w:r>
              <w:rPr>
                <w:rFonts w:ascii="Times New Roman" w:hAnsi="Times New Roman"/>
                <w:sz w:val="18"/>
              </w:rPr>
              <w:t>Standardized evaluation framework executing head-to-head performance comparisons against centralized 3D A* and decentralized RRT* algorithms.</w:t>
            </w:r>
          </w:p>
        </w:tc>
      </w:tr>
    </w:tbl>
    <w:p>
      <w:pPr>
        <w:spacing w:before="120" w:after="40"/>
      </w:pPr>
      <w:r>
        <w:rPr>
          <w:b/>
          <w:sz w:val="22"/>
        </w:rPr>
        <w:t>J. Equipment required for making prototype/working model: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1. Development Workstation: </w:t>
            </w:r>
            <w:r>
              <w:rPr>
                <w:rFonts w:ascii="Times New Roman" w:hAnsi="Times New Roman"/>
                <w:sz w:val="18"/>
              </w:rPr>
              <w:t>Standard research workstation or laptop equipped with a multi-core processor (Intel Core i7/i9 or AMD Ryzen) and 16+ GB RAM.</w:t>
            </w:r>
          </w:p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2. GPU Compute Capability: </w:t>
            </w:r>
            <w:r>
              <w:rPr>
                <w:rFonts w:ascii="Times New Roman" w:hAnsi="Times New Roman"/>
                <w:sz w:val="18"/>
              </w:rPr>
              <w:t>Dedicated NVIDIA GPU (GeForce RTX/GTX series, CUDA 12.x compatible) for accelerated deep neural network training and real-time 3D simulation physics.</w:t>
            </w:r>
          </w:p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3. GIS &amp; Simulation Software Toolchain: </w:t>
            </w:r>
            <w:r>
              <w:rPr>
                <w:rFonts w:ascii="Times New Roman" w:hAnsi="Times New Roman"/>
                <w:sz w:val="18"/>
              </w:rPr>
              <w:t>Python 3.10+ virtual environment, PyTorch deep learning framework, GDAL/Rasterio/GeoPandas geospatial libraries, Blender 4.x (bpy), and Unreal Engine 5.4.</w:t>
            </w:r>
          </w:p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4. Earth Observation Datasets &amp; Connectivity: </w:t>
            </w:r>
            <w:r>
              <w:rPr>
                <w:rFonts w:ascii="Times New Roman" w:hAnsi="Times New Roman"/>
                <w:sz w:val="18"/>
              </w:rPr>
              <w:t>High-speed internet connectivity for streaming AWS Terrarium DEM tiles and SpaceNet 2 satellite imagery.</w:t>
            </w:r>
          </w:p>
          <w:p>
            <w:pPr>
              <w:spacing w:line="252" w:lineRule="auto" w:after="40"/>
            </w:pPr>
            <w:r>
              <w:rPr>
                <w:rFonts w:ascii="Times New Roman" w:hAnsi="Times New Roman"/>
                <w:b/>
                <w:sz w:val="18"/>
              </w:rPr>
              <w:t xml:space="preserve">5. Hardware-in-the-Loop Demonstration (Optional): </w:t>
            </w:r>
            <w:r>
              <w:rPr>
                <w:rFonts w:ascii="Times New Roman" w:hAnsi="Times New Roman"/>
                <w:sz w:val="18"/>
              </w:rPr>
              <w:t>An optional physical quadrotor or Pixhawk flight controller telemetry link may be incorporated for ground station telemetry playback if laboratory hardware is made available.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b/>
          <w:sz w:val="22"/>
        </w:rPr>
        <w:t>K. Benefits of the Project: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59" w:lineRule="auto" w:after="40"/>
            </w:pPr>
            <w:r>
              <w:rPr>
                <w:rFonts w:ascii="Times New Roman" w:hAnsi="Times New Roman"/>
                <w:b/>
                <w:sz w:val="19"/>
              </w:rPr>
              <w:t xml:space="preserve">1. Risk-Free, Low-Cost Swarm Development: </w:t>
            </w:r>
            <w:r>
              <w:rPr>
                <w:rFonts w:ascii="Times New Roman" w:hAnsi="Times New Roman"/>
                <w:sz w:val="19"/>
              </w:rPr>
              <w:t>Enables rapid prototyping and verification of multi-UAV swarm control policies without incurring drone crash costs or flight-safety hazards.</w:t>
            </w:r>
          </w:p>
          <w:p>
            <w:pPr>
              <w:spacing w:line="259" w:lineRule="auto" w:after="40"/>
            </w:pPr>
            <w:r>
              <w:rPr>
                <w:rFonts w:ascii="Times New Roman" w:hAnsi="Times New Roman"/>
                <w:b/>
                <w:sz w:val="19"/>
              </w:rPr>
              <w:t xml:space="preserve">2. Scientific Repeatability: </w:t>
            </w:r>
            <w:r>
              <w:rPr>
                <w:rFonts w:ascii="Times New Roman" w:hAnsi="Times New Roman"/>
                <w:sz w:val="19"/>
              </w:rPr>
              <w:t>Provides a deterministic, repeatable operational environment for rigorous scientific comparison across disparate multi-agent algorithms under identical environmental states.</w:t>
            </w:r>
          </w:p>
          <w:p>
            <w:pPr>
              <w:spacing w:line="259" w:lineRule="auto" w:after="40"/>
            </w:pPr>
            <w:r>
              <w:rPr>
                <w:rFonts w:ascii="Times New Roman" w:hAnsi="Times New Roman"/>
                <w:b/>
                <w:sz w:val="19"/>
              </w:rPr>
              <w:t xml:space="preserve">3. Robustness in High-Entropy &amp; GPS-Degraded Environments: </w:t>
            </w:r>
            <w:r>
              <w:rPr>
                <w:rFonts w:ascii="Times New Roman" w:hAnsi="Times New Roman"/>
                <w:sz w:val="19"/>
              </w:rPr>
              <w:t>Enables evaluation of swarm adaptability under communication outages, moving obstacles, micro-hazards (catenary powerlines), and individual agent motor failures.</w:t>
            </w:r>
          </w:p>
          <w:p>
            <w:pPr>
              <w:spacing w:line="259" w:lineRule="auto" w:after="40"/>
            </w:pPr>
            <w:r>
              <w:rPr>
                <w:rFonts w:ascii="Times New Roman" w:hAnsi="Times New Roman"/>
                <w:b/>
                <w:sz w:val="19"/>
              </w:rPr>
              <w:t xml:space="preserve">4. Direct Fusion of Space Science &amp; Autonomous Robotics: </w:t>
            </w:r>
            <w:r>
              <w:rPr>
                <w:rFonts w:ascii="Times New Roman" w:hAnsi="Times New Roman"/>
                <w:sz w:val="19"/>
              </w:rPr>
              <w:t>Demonstrates seamless integration of satellite remote sensing, photogrammetric DEMs, and GIS spatial analytics directly into autonomous robotic navigation pipelines.</w:t>
            </w:r>
          </w:p>
          <w:p>
            <w:pPr>
              <w:spacing w:line="259" w:lineRule="auto" w:after="40"/>
            </w:pPr>
            <w:r>
              <w:rPr>
                <w:rFonts w:ascii="Times New Roman" w:hAnsi="Times New Roman"/>
                <w:b/>
                <w:sz w:val="19"/>
              </w:rPr>
              <w:t xml:space="preserve">5. Search and Rescue (SAR) &amp; Disaster Assessment: </w:t>
            </w:r>
            <w:r>
              <w:rPr>
                <w:rFonts w:ascii="Times New Roman" w:hAnsi="Times New Roman"/>
                <w:sz w:val="19"/>
              </w:rPr>
              <w:t>Directly applicable to post-disaster reconnaissance (earthquake structural collapse, flood assessment, acoustic survivor locator homing).</w:t>
            </w:r>
          </w:p>
          <w:p>
            <w:pPr>
              <w:spacing w:line="259" w:lineRule="auto" w:after="40"/>
            </w:pPr>
            <w:r>
              <w:rPr>
                <w:rFonts w:ascii="Times New Roman" w:hAnsi="Times New Roman"/>
                <w:b/>
                <w:sz w:val="19"/>
              </w:rPr>
              <w:t xml:space="preserve">6. Quantitative Multi-Objective Benchmarking: </w:t>
            </w:r>
            <w:r>
              <w:rPr>
                <w:rFonts w:ascii="Times New Roman" w:hAnsi="Times New Roman"/>
                <w:sz w:val="19"/>
              </w:rPr>
              <w:t>Establishes empirical baselines comparing cooperative reinforcement learning against classical centralized 3D A* and decentralized RRT* algorithms.</w:t>
            </w:r>
          </w:p>
          <w:p>
            <w:pPr>
              <w:spacing w:line="259" w:lineRule="auto" w:after="40"/>
            </w:pPr>
            <w:r>
              <w:rPr>
                <w:rFonts w:ascii="Times New Roman" w:hAnsi="Times New Roman"/>
                <w:b/>
                <w:sz w:val="19"/>
              </w:rPr>
              <w:t xml:space="preserve">7. Foundation for Physical Hardware-in-the-Loop (HIL): </w:t>
            </w:r>
            <w:r>
              <w:rPr>
                <w:rFonts w:ascii="Times New Roman" w:hAnsi="Times New Roman"/>
                <w:sz w:val="19"/>
              </w:rPr>
              <w:t>Establishes standard MAVLink telemetry and control interfaces readily transferable to physical multi-UAV platforms in future research.</w:t>
            </w:r>
          </w:p>
        </w:tc>
      </w:tr>
    </w:tbl>
    <w:p>
      <w:pPr>
        <w:spacing w:before="200" w:after="60" w:line="264" w:lineRule="auto"/>
      </w:pPr>
      <w:r>
        <w:rPr>
          <w:rFonts w:ascii="Times New Roman" w:hAnsi="Times New Roman"/>
          <w:sz w:val="19"/>
        </w:rPr>
        <w:t>It is certified that the FYP titled “Multi-Agent Deep Reinforcement Learning for UAV Swarm Navigation in a Geospatial Digital Twin” has been approved and is being undertaken by the above-mentioned students (Mashaf Majeed Janjua, Reg. No. 230601017, and Haider Taqveen, Reg. No. 230601020) as their Final Year Project.</w:t>
      </w:r>
    </w:p>
    <w:p>
      <w:pPr>
        <w:spacing w:before="40" w:after="60" w:line="264" w:lineRule="auto"/>
      </w:pPr>
      <w:r>
        <w:rPr>
          <w:rFonts w:ascii="Times New Roman" w:hAnsi="Times New Roman"/>
          <w:sz w:val="19"/>
        </w:rPr>
        <w:t>It is undertaken that the undersigned have understood the “terms &amp; conditions” of the program, and further reiterate that, if the subject FYP is approved for funding, the disbursed funds shall be utilized as per “terms &amp; conditions” and the undersigned will be liable to reimburse/refund the unutilized amount and other cost not approved by the IST, if any.</w:t>
      </w:r>
    </w:p>
    <w:p>
      <w:pPr>
        <w:spacing w:before="40" w:after="200" w:line="264" w:lineRule="auto"/>
      </w:pPr>
      <w:r>
        <w:rPr>
          <w:rFonts w:ascii="Times New Roman" w:hAnsi="Times New Roman"/>
          <w:sz w:val="19"/>
        </w:rPr>
        <w:t>It is further undertaken that after utilization of funds, the said “Fund Utilization Report” shall be furnished along with the other required deliverables as and when required by the 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pPr>
              <w:spacing w:before="40" w:after="20"/>
            </w:pPr>
            <w:r>
              <w:rPr>
                <w:b/>
                <w:sz w:val="19"/>
              </w:rPr>
              <w:t>1. Name, Designation &amp; Signature of Supervisor:</w:t>
            </w:r>
          </w:p>
          <w:p>
            <w:pPr>
              <w:spacing w:before="120" w:after="40" w:line="252" w:lineRule="auto"/>
            </w:pPr>
            <w:r>
              <w:rPr>
                <w:sz w:val="18"/>
              </w:rPr>
              <w:t>Dr. Munawar Ali Shah</w:t>
              <w:br/>
              <w:t>Assistant Professor, Department of Space Science</w:t>
              <w:br/>
              <w:t>Institute of Space Technology, Islamabad</w:t>
            </w:r>
          </w:p>
          <w:p>
            <w:pPr>
              <w:spacing w:before="400" w:after="40"/>
            </w:pPr>
            <w:r>
              <w:rPr>
                <w:sz w:val="18"/>
              </w:rPr>
              <w:t>Signature: ______________________  Date: ________</w:t>
            </w:r>
          </w:p>
        </w:tc>
        <w:tc>
          <w:tcPr>
            <w:tcW w:type="dxa" w:w="5112"/>
            <w:tcBorders>
              <w:top w:val="single" w:sz="5" w:space="0" w:color="475569"/>
              <w:left w:val="single" w:sz="5" w:space="0" w:color="475569"/>
              <w:bottom w:val="single" w:sz="5" w:space="0" w:color="475569"/>
              <w:right w:val="single" w:sz="5" w:space="0" w:color="47556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val="clear" w:color="auto" w:fill="F8FAFC"/>
          </w:tcPr>
          <w:p>
            <w:pPr>
              <w:spacing w:before="40" w:after="20"/>
            </w:pPr>
            <w:r>
              <w:rPr>
                <w:b/>
                <w:sz w:val="19"/>
              </w:rPr>
              <w:t>2. Name &amp; Signatures of HoD:</w:t>
            </w:r>
          </w:p>
          <w:p>
            <w:pPr>
              <w:spacing w:before="120" w:after="40" w:line="252" w:lineRule="auto"/>
            </w:pPr>
            <w:r>
              <w:rPr>
                <w:sz w:val="18"/>
              </w:rPr>
              <w:t>Head of Department</w:t>
              <w:br/>
              <w:t>Department of Space Science</w:t>
              <w:br/>
              <w:t>Institute of Space Technology, Islamabad</w:t>
            </w:r>
          </w:p>
          <w:p>
            <w:pPr>
              <w:spacing w:before="400" w:after="40"/>
            </w:pPr>
            <w:r>
              <w:rPr>
                <w:sz w:val="18"/>
              </w:rPr>
              <w:t>Signature: ______________________  Date: ________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720" w:right="1008" w:bottom="720" w:left="1008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4752"/>
          <w:tcBorders>
            <w:top w:val="single" w:sz="5" w:space="0" w:color="475569"/>
            <w:left w:val="single" w:sz="5" w:space="0" w:color="475569"/>
            <w:bottom w:val="single" w:sz="5" w:space="0" w:color="475569"/>
            <w:right w:val="single" w:sz="5" w:space="0" w:color="475569"/>
          </w:tcBorders>
          <w:tcMar>
            <w:top w:w="40" w:type="dxa"/>
            <w:bottom w:w="40" w:type="dxa"/>
            <w:left w:w="80" w:type="dxa"/>
            <w:right w:w="80" w:type="dxa"/>
          </w:tcMar>
        </w:tcPr>
        <w:p>
          <w:pPr>
            <w:spacing w:before="20" w:after="20" w:line="240" w:lineRule="auto"/>
          </w:pPr>
          <w:r>
            <w:rPr>
              <w:rFonts w:ascii="Times New Roman" w:hAnsi="Times New Roman"/>
              <w:b/>
              <w:color w:val="0F172A"/>
              <w:sz w:val="20"/>
            </w:rPr>
            <w:t>Institute of Space Technology</w:t>
          </w:r>
        </w:p>
      </w:tc>
      <w:tc>
        <w:tcPr>
          <w:tcW w:type="dxa" w:w="1872"/>
          <w:tcBorders>
            <w:top w:val="single" w:sz="5" w:space="0" w:color="475569"/>
            <w:left w:val="single" w:sz="5" w:space="0" w:color="475569"/>
            <w:bottom w:val="single" w:sz="5" w:space="0" w:color="475569"/>
            <w:right w:val="single" w:sz="5" w:space="0" w:color="475569"/>
          </w:tcBorders>
          <w:tcMar>
            <w:top w:w="40" w:type="dxa"/>
            <w:bottom w:w="40" w:type="dxa"/>
            <w:left w:w="80" w:type="dxa"/>
            <w:right w:w="80" w:type="dxa"/>
          </w:tcMar>
          <w:shd w:val="clear" w:color="auto" w:fill="F1F5F9"/>
        </w:tcPr>
        <w:p>
          <w:pPr>
            <w:spacing w:before="20" w:after="20" w:line="240" w:lineRule="auto"/>
          </w:pPr>
          <w:r>
            <w:rPr>
              <w:rFonts w:ascii="Times New Roman" w:hAnsi="Times New Roman"/>
              <w:b/>
              <w:color w:val="0F172A"/>
              <w:sz w:val="19"/>
            </w:rPr>
            <w:t>Form No</w:t>
          </w:r>
        </w:p>
      </w:tc>
      <w:tc>
        <w:tcPr>
          <w:tcW w:type="dxa" w:w="3600"/>
          <w:tcBorders>
            <w:top w:val="single" w:sz="5" w:space="0" w:color="475569"/>
            <w:left w:val="single" w:sz="5" w:space="0" w:color="475569"/>
            <w:bottom w:val="single" w:sz="5" w:space="0" w:color="475569"/>
            <w:right w:val="single" w:sz="5" w:space="0" w:color="475569"/>
          </w:tcBorders>
          <w:tcMar>
            <w:top w:w="40" w:type="dxa"/>
            <w:bottom w:w="40" w:type="dxa"/>
            <w:left w:w="80" w:type="dxa"/>
            <w:right w:w="80" w:type="dxa"/>
          </w:tcMar>
        </w:tcPr>
        <w:p>
          <w:pPr>
            <w:spacing w:before="20" w:after="20" w:line="240" w:lineRule="auto"/>
          </w:pPr>
          <w:r>
            <w:rPr>
              <w:rFonts w:ascii="Times New Roman" w:hAnsi="Times New Roman"/>
              <w:b w:val="0"/>
              <w:color w:val="0F172A"/>
              <w:sz w:val="19"/>
            </w:rPr>
            <w:t>IST-Dean-F-23/00</w:t>
          </w:r>
        </w:p>
      </w:tc>
    </w:tr>
    <w:tr>
      <w:tc>
        <w:tcPr>
          <w:tcW w:type="dxa" w:w="4752"/>
          <w:tcBorders>
            <w:top w:val="single" w:sz="5" w:space="0" w:color="475569"/>
            <w:left w:val="single" w:sz="5" w:space="0" w:color="475569"/>
            <w:bottom w:val="single" w:sz="5" w:space="0" w:color="475569"/>
            <w:right w:val="single" w:sz="5" w:space="0" w:color="475569"/>
          </w:tcBorders>
          <w:tcMar>
            <w:top w:w="40" w:type="dxa"/>
            <w:bottom w:w="40" w:type="dxa"/>
            <w:left w:w="80" w:type="dxa"/>
            <w:right w:w="80" w:type="dxa"/>
          </w:tcMar>
        </w:tcPr>
        <w:p>
          <w:pPr>
            <w:spacing w:before="20" w:after="20" w:line="240" w:lineRule="auto"/>
          </w:pPr>
          <w:r>
            <w:rPr>
              <w:rFonts w:ascii="Times New Roman" w:hAnsi="Times New Roman"/>
              <w:b w:val="0"/>
              <w:color w:val="0F172A"/>
              <w:sz w:val="19"/>
            </w:rPr>
            <w:t>FYP Selection Form</w:t>
          </w:r>
        </w:p>
      </w:tc>
      <w:tc>
        <w:tcPr>
          <w:tcW w:type="dxa" w:w="1872"/>
          <w:tcBorders>
            <w:top w:val="single" w:sz="5" w:space="0" w:color="475569"/>
            <w:left w:val="single" w:sz="5" w:space="0" w:color="475569"/>
            <w:bottom w:val="single" w:sz="5" w:space="0" w:color="475569"/>
            <w:right w:val="single" w:sz="5" w:space="0" w:color="475569"/>
          </w:tcBorders>
          <w:tcMar>
            <w:top w:w="40" w:type="dxa"/>
            <w:bottom w:w="40" w:type="dxa"/>
            <w:left w:w="80" w:type="dxa"/>
            <w:right w:w="80" w:type="dxa"/>
          </w:tcMar>
          <w:shd w:val="clear" w:color="auto" w:fill="F1F5F9"/>
        </w:tcPr>
        <w:p>
          <w:pPr>
            <w:spacing w:before="20" w:after="20" w:line="240" w:lineRule="auto"/>
          </w:pPr>
          <w:r>
            <w:rPr>
              <w:rFonts w:ascii="Times New Roman" w:hAnsi="Times New Roman"/>
              <w:b/>
              <w:color w:val="0F172A"/>
              <w:sz w:val="19"/>
            </w:rPr>
            <w:t>Issue Date</w:t>
          </w:r>
        </w:p>
      </w:tc>
      <w:tc>
        <w:tcPr>
          <w:tcW w:type="dxa" w:w="3600"/>
          <w:tcBorders>
            <w:top w:val="single" w:sz="5" w:space="0" w:color="475569"/>
            <w:left w:val="single" w:sz="5" w:space="0" w:color="475569"/>
            <w:bottom w:val="single" w:sz="5" w:space="0" w:color="475569"/>
            <w:right w:val="single" w:sz="5" w:space="0" w:color="475569"/>
          </w:tcBorders>
          <w:tcMar>
            <w:top w:w="40" w:type="dxa"/>
            <w:bottom w:w="40" w:type="dxa"/>
            <w:left w:w="80" w:type="dxa"/>
            <w:right w:w="80" w:type="dxa"/>
          </w:tcMar>
        </w:tcPr>
        <w:p>
          <w:pPr>
            <w:spacing w:before="20" w:after="20" w:line="240" w:lineRule="auto"/>
          </w:pPr>
          <w:r>
            <w:rPr>
              <w:rFonts w:ascii="Times New Roman" w:hAnsi="Times New Roman"/>
              <w:b w:val="0"/>
              <w:color w:val="0F172A"/>
              <w:sz w:val="19"/>
            </w:rPr>
            <w:t>Fall 2026</w:t>
          </w:r>
        </w:p>
      </w:tc>
    </w:tr>
    <w:tr>
      <w:tc>
        <w:tcPr>
          <w:tcW w:type="dxa" w:w="4752"/>
          <w:tcBorders>
            <w:top w:val="single" w:sz="5" w:space="0" w:color="475569"/>
            <w:left w:val="single" w:sz="5" w:space="0" w:color="475569"/>
            <w:bottom w:val="single" w:sz="5" w:space="0" w:color="475569"/>
            <w:right w:val="single" w:sz="5" w:space="0" w:color="475569"/>
          </w:tcBorders>
          <w:tcMar>
            <w:top w:w="40" w:type="dxa"/>
            <w:bottom w:w="40" w:type="dxa"/>
            <w:left w:w="80" w:type="dxa"/>
            <w:right w:w="80" w:type="dxa"/>
          </w:tcMar>
        </w:tcPr>
        <w:p>
          <w:pPr>
            <w:spacing w:before="20" w:after="20" w:line="240" w:lineRule="auto"/>
          </w:pPr>
          <w:r>
            <w:rPr>
              <w:rFonts w:ascii="Times New Roman" w:hAnsi="Times New Roman"/>
              <w:b w:val="0"/>
              <w:color w:val="0F172A"/>
              <w:sz w:val="18"/>
            </w:rPr>
            <w:t>Grading Policy on Final Year Projects</w:t>
          </w:r>
        </w:p>
      </w:tc>
      <w:tc>
        <w:tcPr>
          <w:tcW w:type="dxa" w:w="1872"/>
          <w:tcBorders>
            <w:top w:val="single" w:sz="5" w:space="0" w:color="475569"/>
            <w:left w:val="single" w:sz="5" w:space="0" w:color="475569"/>
            <w:bottom w:val="single" w:sz="5" w:space="0" w:color="475569"/>
            <w:right w:val="single" w:sz="5" w:space="0" w:color="475569"/>
          </w:tcBorders>
          <w:tcMar>
            <w:top w:w="40" w:type="dxa"/>
            <w:bottom w:w="40" w:type="dxa"/>
            <w:left w:w="80" w:type="dxa"/>
            <w:right w:w="80" w:type="dxa"/>
          </w:tcMar>
          <w:shd w:val="clear" w:color="auto" w:fill="F1F5F9"/>
        </w:tcPr>
        <w:p>
          <w:pPr>
            <w:spacing w:before="20" w:after="20" w:line="240" w:lineRule="auto"/>
          </w:pPr>
          <w:r>
            <w:rPr>
              <w:rFonts w:ascii="Times New Roman" w:hAnsi="Times New Roman"/>
              <w:b/>
              <w:color w:val="0F172A"/>
              <w:sz w:val="19"/>
            </w:rPr>
            <w:t>Department</w:t>
          </w:r>
        </w:p>
      </w:tc>
      <w:tc>
        <w:tcPr>
          <w:tcW w:type="dxa" w:w="3600"/>
          <w:tcBorders>
            <w:top w:val="single" w:sz="5" w:space="0" w:color="475569"/>
            <w:left w:val="single" w:sz="5" w:space="0" w:color="475569"/>
            <w:bottom w:val="single" w:sz="5" w:space="0" w:color="475569"/>
            <w:right w:val="single" w:sz="5" w:space="0" w:color="475569"/>
          </w:tcBorders>
          <w:tcMar>
            <w:top w:w="40" w:type="dxa"/>
            <w:bottom w:w="40" w:type="dxa"/>
            <w:left w:w="80" w:type="dxa"/>
            <w:right w:w="80" w:type="dxa"/>
          </w:tcMar>
        </w:tcPr>
        <w:p>
          <w:pPr>
            <w:spacing w:before="20" w:after="20" w:line="240" w:lineRule="auto"/>
          </w:pPr>
          <w:r>
            <w:rPr>
              <w:rFonts w:ascii="Times New Roman" w:hAnsi="Times New Roman"/>
              <w:b w:val="0"/>
              <w:color w:val="0F172A"/>
              <w:sz w:val="19"/>
            </w:rPr>
            <w:t>Department of Space Science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40"/>
    </w:pPr>
    <w:rPr>
      <w:rFonts w:ascii="Times New Roman" w:hAnsi="Times New Roman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