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0"/>
          <w:szCs w:val="40"/>
        </w:rPr>
        <w:t xml:space="preserve">Mutual Fund Overview &amp; Insights</w:t>
      </w:r>
    </w:p>
    <w:p>
      <w:pPr>
        <w:spacing w:after="60"/>
      </w:pPr>
      <w:r>
        <w:rPr>
          <w:i/>
          <w:iCs/>
          <w:color w:val="595959"/>
          <w:sz w:val="26"/>
          <w:szCs w:val="26"/>
        </w:rPr>
        <w:t xml:space="preserve">Finding High Return &amp; Low Risk Funds</w:t>
      </w:r>
    </w:p>
    <w:p>
      <w:pPr>
        <w:spacing w:after="300"/>
      </w:pPr>
      <w:r>
        <w:rPr>
          <w:b/>
          <w:bCs/>
          <w:color w:val="1F4E78"/>
          <w:sz w:val="30"/>
          <w:szCs w:val="30"/>
        </w:rPr>
        <w:t xml:space="preserve">Executive Summary</w:t>
      </w:r>
    </w:p>
    <w:p>
      <w:pPr>
        <w:pStyle w:val="Heading1"/>
        <w:spacing w:after="150" w:before="300"/>
      </w:pPr>
      <w:r>
        <w:t xml:space="preserve">1. Title of the Project</w:t>
      </w:r>
    </w:p>
    <w:p>
      <w:pPr>
        <w:spacing w:after="150"/>
      </w:pPr>
      <w:r>
        <w:t xml:space="preserve">Mutual Fund Overview &amp; Insights — Finding High Return &amp; Low Risk Funds. A data-driven fund scoring and ranking system that identifies the Top 30 mutual funds out of a universe of 800+ Indian mutual fund schemes.</w:t>
      </w:r>
    </w:p>
    <w:p>
      <w:pPr>
        <w:pStyle w:val="Heading1"/>
        <w:spacing w:after="150" w:before="300"/>
      </w:pPr>
      <w:r>
        <w:t xml:space="preserve">2. What This Project Is About</w:t>
      </w:r>
    </w:p>
    <w:p>
      <w:pPr>
        <w:spacing w:after="150"/>
      </w:pPr>
      <w:r>
        <w:t xml:space="preserve">Investors today face hundreds of mutual fund options across AMCs, categories, and risk levels, which makes it genuinely hard to compare funds on a like-for-like basis. This project takes a raw, real-world mutual fund dataset (814 schemes, 20 attributes each — returns, expense ratio, fund age, AUM, risk statistics, ratings, etc.), cleans it, explores it, and then builds an objective, weighted “Fund Score” for every scheme using MinMax normalization. The scored funds are ranked from highest to lowest, and the Top 30 are extracted into a ready-to-use Excel workbook that an investor or advisor can act on directly.</w:t>
      </w:r>
    </w:p>
    <w:p>
      <w:pPr>
        <w:pStyle w:val="Heading1"/>
        <w:spacing w:after="150" w:before="300"/>
      </w:pPr>
      <w:r>
        <w:t xml:space="preserve">3. Objective of the Project</w:t>
      </w:r>
    </w:p>
    <w:p>
      <w:pPr>
        <w:pStyle w:val="ListParagraph"/>
        <w:numPr>
          <w:ilvl w:val="0"/>
          <w:numId w:val="1"/>
        </w:numPr>
        <w:spacing w:after="80"/>
      </w:pPr>
      <w:r>
        <w:t xml:space="preserve">Help investors choose better mutual funds using data analysis rather than guesswork or marketing claims.</w:t>
      </w:r>
    </w:p>
    <w:p>
      <w:pPr>
        <w:pStyle w:val="ListParagraph"/>
        <w:numPr>
          <w:ilvl w:val="0"/>
          <w:numId w:val="1"/>
        </w:numPr>
        <w:spacing w:after="80"/>
      </w:pPr>
      <w:r>
        <w:t xml:space="preserve">Build a single, comparable Fund Score that blends long-term performance, cost, stability and recent performance into one number.</w:t>
      </w:r>
    </w:p>
    <w:p>
      <w:pPr>
        <w:pStyle w:val="ListParagraph"/>
        <w:numPr>
          <w:ilvl w:val="0"/>
          <w:numId w:val="1"/>
        </w:numPr>
        <w:spacing w:after="80"/>
      </w:pPr>
      <w:r>
        <w:t xml:space="preserve">Clean and standardize a messy real-world financial dataset so it is analysis-ready.</w:t>
      </w:r>
    </w:p>
    <w:p>
      <w:pPr>
        <w:pStyle w:val="ListParagraph"/>
        <w:numPr>
          <w:ilvl w:val="0"/>
          <w:numId w:val="1"/>
        </w:numPr>
        <w:spacing w:after="80"/>
      </w:pPr>
      <w:r>
        <w:t xml:space="preserve">Surface business insights (top AMCs by AUM, best-performing categories, risk distribution, average costs).</w:t>
      </w:r>
    </w:p>
    <w:p>
      <w:pPr>
        <w:pStyle w:val="ListParagraph"/>
        <w:numPr>
          <w:ilvl w:val="0"/>
          <w:numId w:val="1"/>
        </w:numPr>
        <w:spacing w:after="80"/>
      </w:pPr>
      <w:r>
        <w:t xml:space="preserve">Deliver a ranked, exportable Top 30 fund list that is immediately usable for investment shortlisting.</w:t>
      </w:r>
    </w:p>
    <w:p>
      <w:pPr>
        <w:pStyle w:val="Heading1"/>
        <w:spacing w:after="150" w:before="300"/>
      </w:pPr>
      <w:r>
        <w:t xml:space="preserve">4. Business Problem</w:t>
      </w:r>
    </w:p>
    <w:p>
      <w:pPr>
        <w:spacing w:after="150"/>
      </w:pPr>
      <w:r>
        <w:t xml:space="preserve">With hundreds of mutual funds on the market, investors struggle to answer basic but critical questions:</w:t>
      </w:r>
    </w:p>
    <w:p>
      <w:pPr>
        <w:pStyle w:val="ListParagraph"/>
        <w:numPr>
          <w:ilvl w:val="0"/>
          <w:numId w:val="1"/>
        </w:numPr>
        <w:spacing w:after="80"/>
      </w:pPr>
      <w:r>
        <w:t xml:space="preserve">Which fund is best overall, considering both return and cost?</w:t>
      </w:r>
    </w:p>
    <w:p>
      <w:pPr>
        <w:pStyle w:val="ListParagraph"/>
        <w:numPr>
          <w:ilvl w:val="0"/>
          <w:numId w:val="1"/>
        </w:numPr>
        <w:spacing w:after="80"/>
      </w:pPr>
      <w:r>
        <w:t xml:space="preserve">Which funds give consistently good long-term (3-year) returns?</w:t>
      </w:r>
    </w:p>
    <w:p>
      <w:pPr>
        <w:pStyle w:val="ListParagraph"/>
        <w:numPr>
          <w:ilvl w:val="0"/>
          <w:numId w:val="1"/>
        </w:numPr>
        <w:spacing w:after="80"/>
      </w:pPr>
      <w:r>
        <w:t xml:space="preserve">Which funds are lower risk / more stable (older, established track record)?</w:t>
      </w:r>
    </w:p>
    <w:p>
      <w:pPr>
        <w:pStyle w:val="ListParagraph"/>
        <w:numPr>
          <w:ilvl w:val="0"/>
          <w:numId w:val="1"/>
        </w:numPr>
        <w:spacing w:after="80"/>
      </w:pPr>
      <w:r>
        <w:t xml:space="preserve">Which funds charge lower fees (expense ratio), which directly erodes investor returns over time?</w:t>
      </w:r>
    </w:p>
    <w:p>
      <w:pPr>
        <w:spacing w:after="150"/>
      </w:pPr>
      <w:r>
        <w:t xml:space="preserve">Because return, cost, and age are measured on completely different scales (e.g., returns in %, expense ratio in %, age in years), they cannot be compared or combined directly — this is the core technical problem the project had to solve before any ranking could happen.</w:t>
      </w:r>
    </w:p>
    <w:p>
      <w:pPr>
        <w:pStyle w:val="Heading1"/>
        <w:spacing w:after="150" w:before="300"/>
      </w:pPr>
      <w:r>
        <w:t xml:space="preserve">5. Challenges Faced &amp; How They Were Addressed</w:t>
      </w:r>
    </w:p>
    <w:p>
      <w:pPr>
        <w:pStyle w:val="Heading2"/>
        <w:spacing w:after="120" w:before="250"/>
      </w:pPr>
      <w:r>
        <w:t xml:space="preserve">Challenge 1: Inconsistent data types</w:t>
      </w:r>
    </w:p>
    <w:p>
      <w:pPr>
        <w:spacing w:after="150"/>
      </w:pPr>
      <w:r>
        <w:t xml:space="preserve">Risk-related columns (alpha, beta, sortino, sharpe, sd) were stored as text because a small number of rows used a placeholder ('-') instead of a numeric value. This silently blocked any numeric analysis on those columns.</w:t>
      </w:r>
    </w:p>
    <w:p>
      <w:pPr>
        <w:spacing w:after="150"/>
      </w:pPr>
      <w:r>
        <w:rPr>
          <w:b w:val="false"/>
          <w:bCs w:val="false"/>
        </w:rPr>
        <w:t xml:space="preserve">Solution: Used pandas.to_numeric() with errors='coerce' to force these columns to proper numeric types, converting non-numeric placeholders to NaN in a controlled, auditable way rather than letting them break downstream calculations.</w:t>
      </w:r>
    </w:p>
    <w:p>
      <w:pPr>
        <w:pStyle w:val="Heading2"/>
        <w:spacing w:after="120" w:before="250"/>
      </w:pPr>
      <w:r>
        <w:t xml:space="preserve">Challenge 2: Missing values in return columns</w:t>
      </w:r>
    </w:p>
    <w:p>
      <w:pPr>
        <w:spacing w:after="150"/>
      </w:pPr>
      <w:r>
        <w:t xml:space="preserve">returns_3yr had 21 missing values and returns_5yr had 167 missing values — and returns_3yr is the single most heavily weighted field (40%) in the Fund Score.</w:t>
      </w:r>
    </w:p>
    <w:p>
      <w:pPr>
        <w:spacing w:after="150"/>
      </w:pPr>
      <w:r>
        <w:t xml:space="preserve">Solution: Funds missing returns_3yr were dropped, since imputing the most heavily weighted scoring field would have distorted the ranking. returns_5yr was left as-is (kept, not used in scoring) since it wasn't part of the required scoring formula. Any minor residual gaps in the four scoring fields after cleaning were filled with the column median — a choice that is robust to outliers, unlike the mean.</w:t>
      </w:r>
    </w:p>
    <w:p>
      <w:pPr>
        <w:pStyle w:val="Heading2"/>
        <w:spacing w:after="120" w:before="250"/>
      </w:pPr>
      <w:r>
        <w:t xml:space="preserve">Challenge 3: Duplicate-looking scheme names</w:t>
      </w:r>
    </w:p>
    <w:p>
      <w:pPr>
        <w:spacing w:after="150"/>
      </w:pPr>
      <w:r>
        <w:t xml:space="preserve">25 scheme_name values appeared more than once (e.g. ‘HDFC Index Fund’ appearing 2–3 times with different AUM figures each time).</w:t>
      </w:r>
    </w:p>
    <w:p>
      <w:pPr>
        <w:spacing w:after="150"/>
      </w:pPr>
      <w:r>
        <w:t xml:space="preserve">Solution: Investigated rather than deleted blindly, as instructed by the project brief. These rows represent different plan variants of the same scheme (different AUM/min-investment combinations, e.g. Direct vs Regular plans) rather than true duplicate records, so they were kept as distinct entries; only fully identical rows (every column matching) were dropped.</w:t>
      </w:r>
    </w:p>
    <w:p>
      <w:pPr>
        <w:pStyle w:val="Heading2"/>
        <w:spacing w:after="120" w:before="250"/>
      </w:pPr>
      <w:r>
        <w:t xml:space="preserve">Challenge 4: Combining unlike scales into one score</w:t>
      </w:r>
    </w:p>
    <w:p>
      <w:pPr>
        <w:spacing w:after="150"/>
      </w:pPr>
      <w:r>
        <w:t xml:space="preserve">Returns (%), expense ratio (%), and fund age (years) cannot be added together meaningfully in their raw form — a fund age of ‘10’ would dwarf a return of ‘2.5%’ in a naive sum.</w:t>
      </w:r>
    </w:p>
    <w:p>
      <w:pPr>
        <w:spacing w:after="150"/>
      </w:pPr>
      <w:r>
        <w:t xml:space="preserve">Solution: Applied sklearn.preprocessing.MinMaxScaler to rescale all four scoring fields to a common 0–1 range before combining them with the specified weights. Because a lower expense ratio is better for investors (the opposite of the other three fields, where higher is better), the scaled expense-ratio score was inverted (1 − scaled value) so that ‘higher is always better’ holds consistently across every component of the score.</w:t>
      </w:r>
    </w:p>
    <w:p>
      <w:pPr>
        <w:pStyle w:val="Heading1"/>
        <w:spacing w:after="150" w:before="300"/>
      </w:pPr>
      <w:r>
        <w:t xml:space="preserve">6. Methodology Snapshot</w:t>
      </w:r>
    </w:p>
    <w:p>
      <w:pPr>
        <w:spacing w:after="150"/>
      </w:pPr>
      <w:r>
        <w:t xml:space="preserve">The Fund Score was built using the following weight allocation, applied to MinMax-scaled (0–1) values of each field: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shd w:fill="1F4E78" w:val="clear"/>
            <w:tcMar>
              <w:top w:type="dxa" w:w="80"/>
              <w:left w:type="dxa" w:w="100"/>
              <w:bottom w:type="dxa" w:w="80"/>
              <w:right w:type="dxa" w:w="100"/>
            </w:tcMar>
          </w:tcPr>
          <w:p>
            <w:r>
              <w:rPr>
                <w:b/>
                <w:bCs/>
                <w:color w:val="FFFFFF"/>
                <w:sz w:val="20"/>
                <w:szCs w:val="20"/>
              </w:rPr>
              <w:t xml:space="preserve">Field</w:t>
            </w:r>
          </w:p>
        </w:tc>
        <w:tc>
          <w:tcPr>
            <w:tcW w:type="dxa" w:w="2500"/>
            <w:shd w:fill="1F4E78" w:val="clear"/>
            <w:tcMar>
              <w:top w:type="dxa" w:w="80"/>
              <w:left w:type="dxa" w:w="100"/>
              <w:bottom w:type="dxa" w:w="80"/>
              <w:right w:type="dxa" w:w="100"/>
            </w:tcMar>
          </w:tcPr>
          <w:p>
            <w:r>
              <w:rPr>
                <w:b/>
                <w:bCs/>
                <w:color w:val="FFFFFF"/>
                <w:sz w:val="20"/>
                <w:szCs w:val="20"/>
              </w:rPr>
              <w:t xml:space="preserve">Weight</w:t>
            </w:r>
          </w:p>
        </w:tc>
      </w:tr>
      <w:tr>
        <w:tc>
          <w:tcPr>
            <w:tcW w:type="dxa" w:w="3500"/>
            <w:tcMar>
              <w:top w:type="dxa" w:w="80"/>
              <w:left w:type="dxa" w:w="100"/>
              <w:bottom w:type="dxa" w:w="80"/>
              <w:right w:type="dxa" w:w="100"/>
            </w:tcMar>
          </w:tcPr>
          <w:p>
            <w:r>
              <w:rPr>
                <w:b w:val="false"/>
                <w:bCs w:val="false"/>
                <w:color w:val="000000"/>
                <w:sz w:val="20"/>
                <w:szCs w:val="20"/>
              </w:rPr>
              <w:t xml:space="preserve">3Y Return</w:t>
            </w:r>
          </w:p>
        </w:tc>
        <w:tc>
          <w:tcPr>
            <w:tcW w:type="dxa" w:w="2500"/>
            <w:tcMar>
              <w:top w:type="dxa" w:w="80"/>
              <w:left w:type="dxa" w:w="100"/>
              <w:bottom w:type="dxa" w:w="80"/>
              <w:right w:type="dxa" w:w="100"/>
            </w:tcMar>
          </w:tcPr>
          <w:p>
            <w:r>
              <w:rPr>
                <w:b w:val="false"/>
                <w:bCs w:val="false"/>
                <w:color w:val="000000"/>
                <w:sz w:val="20"/>
                <w:szCs w:val="20"/>
              </w:rPr>
              <w:t xml:space="preserve">40%</w:t>
            </w:r>
          </w:p>
        </w:tc>
      </w:tr>
      <w:tr>
        <w:tc>
          <w:tcPr>
            <w:tcW w:type="dxa" w:w="3500"/>
            <w:tcMar>
              <w:top w:type="dxa" w:w="80"/>
              <w:left w:type="dxa" w:w="100"/>
              <w:bottom w:type="dxa" w:w="80"/>
              <w:right w:type="dxa" w:w="100"/>
            </w:tcMar>
          </w:tcPr>
          <w:p>
            <w:r>
              <w:rPr>
                <w:b w:val="false"/>
                <w:bCs w:val="false"/>
                <w:color w:val="000000"/>
                <w:sz w:val="20"/>
                <w:szCs w:val="20"/>
              </w:rPr>
              <w:t xml:space="preserve">Expense Ratio</w:t>
            </w:r>
          </w:p>
        </w:tc>
        <w:tc>
          <w:tcPr>
            <w:tcW w:type="dxa" w:w="2500"/>
            <w:tcMar>
              <w:top w:type="dxa" w:w="80"/>
              <w:left w:type="dxa" w:w="100"/>
              <w:bottom w:type="dxa" w:w="80"/>
              <w:right w:type="dxa" w:w="100"/>
            </w:tcMar>
          </w:tcPr>
          <w:p>
            <w:r>
              <w:rPr>
                <w:b w:val="false"/>
                <w:bCs w:val="false"/>
                <w:color w:val="000000"/>
                <w:sz w:val="20"/>
                <w:szCs w:val="20"/>
              </w:rPr>
              <w:t xml:space="preserve">30%</w:t>
            </w:r>
          </w:p>
        </w:tc>
      </w:tr>
      <w:tr>
        <w:tc>
          <w:tcPr>
            <w:tcW w:type="dxa" w:w="3500"/>
            <w:tcMar>
              <w:top w:type="dxa" w:w="80"/>
              <w:left w:type="dxa" w:w="100"/>
              <w:bottom w:type="dxa" w:w="80"/>
              <w:right w:type="dxa" w:w="100"/>
            </w:tcMar>
          </w:tcPr>
          <w:p>
            <w:r>
              <w:rPr>
                <w:b w:val="false"/>
                <w:bCs w:val="false"/>
                <w:color w:val="000000"/>
                <w:sz w:val="20"/>
                <w:szCs w:val="20"/>
              </w:rPr>
              <w:t xml:space="preserve">Fund Age</w:t>
            </w:r>
          </w:p>
        </w:tc>
        <w:tc>
          <w:tcPr>
            <w:tcW w:type="dxa" w:w="2500"/>
            <w:tcMar>
              <w:top w:type="dxa" w:w="80"/>
              <w:left w:type="dxa" w:w="100"/>
              <w:bottom w:type="dxa" w:w="80"/>
              <w:right w:type="dxa" w:w="100"/>
            </w:tcMar>
          </w:tcPr>
          <w:p>
            <w:r>
              <w:rPr>
                <w:b w:val="false"/>
                <w:bCs w:val="false"/>
                <w:color w:val="000000"/>
                <w:sz w:val="20"/>
                <w:szCs w:val="20"/>
              </w:rPr>
              <w:t xml:space="preserve">20%</w:t>
            </w:r>
          </w:p>
        </w:tc>
      </w:tr>
      <w:tr>
        <w:tc>
          <w:tcPr>
            <w:tcW w:type="dxa" w:w="3500"/>
            <w:tcMar>
              <w:top w:type="dxa" w:w="80"/>
              <w:left w:type="dxa" w:w="100"/>
              <w:bottom w:type="dxa" w:w="80"/>
              <w:right w:type="dxa" w:w="100"/>
            </w:tcMar>
          </w:tcPr>
          <w:p>
            <w:r>
              <w:rPr>
                <w:b w:val="false"/>
                <w:bCs w:val="false"/>
                <w:color w:val="000000"/>
                <w:sz w:val="20"/>
                <w:szCs w:val="20"/>
              </w:rPr>
              <w:t xml:space="preserve">1Y Return</w:t>
            </w:r>
          </w:p>
        </w:tc>
        <w:tc>
          <w:tcPr>
            <w:tcW w:type="dxa" w:w="2500"/>
            <w:tcMar>
              <w:top w:type="dxa" w:w="80"/>
              <w:left w:type="dxa" w:w="100"/>
              <w:bottom w:type="dxa" w:w="80"/>
              <w:right w:type="dxa" w:w="100"/>
            </w:tcMar>
          </w:tcPr>
          <w:p>
            <w:r>
              <w:rPr>
                <w:b w:val="false"/>
                <w:bCs w:val="false"/>
                <w:color w:val="000000"/>
                <w:sz w:val="20"/>
                <w:szCs w:val="20"/>
              </w:rPr>
              <w:t xml:space="preserve">10%</w:t>
            </w:r>
          </w:p>
        </w:tc>
      </w:tr>
    </w:tbl>
    <w:p>
      <w:pPr>
        <w:spacing w:after="150"/>
      </w:pPr>
      <w:r>
        <w:t xml:space="preserve"/>
      </w:r>
    </w:p>
    <w:p>
      <w:pPr>
        <w:spacing w:after="150"/>
      </w:pPr>
      <w:r>
        <w:rPr>
          <w:b/>
          <w:bCs/>
        </w:rPr>
        <w:t xml:space="preserve">Fund Score = (3Y Return Score × 0.40) + (Expense Score × 0.30) + (Age Score × 0.20) + (1Y Return Score × 0.10), scaled to a 0–100 report-card style score.</w:t>
      </w:r>
    </w:p>
    <w:p>
      <w:pPr>
        <w:pStyle w:val="Heading1"/>
        <w:spacing w:after="150" w:before="300"/>
      </w:pPr>
      <w:r>
        <w:t xml:space="preserve">7. Key Findings</w:t>
      </w:r>
    </w:p>
    <w:p>
      <w:pPr>
        <w:pStyle w:val="ListParagraph"/>
        <w:numPr>
          <w:ilvl w:val="0"/>
          <w:numId w:val="1"/>
        </w:numPr>
        <w:spacing w:after="80"/>
      </w:pPr>
      <w:r>
        <w:t xml:space="preserve">793 of the original 814 funds had complete data for scoring after cleaning.</w:t>
      </w:r>
    </w:p>
    <w:p>
      <w:pPr>
        <w:pStyle w:val="ListParagraph"/>
        <w:numPr>
          <w:ilvl w:val="0"/>
          <w:numId w:val="1"/>
        </w:numPr>
        <w:spacing w:after="80"/>
      </w:pPr>
      <w:r>
        <w:t xml:space="preserve">Top-30 Fund Scores ranged from 54.45 to 75.50 (out of 100), with an average of ~58.6.</w:t>
      </w:r>
    </w:p>
    <w:p>
      <w:pPr>
        <w:pStyle w:val="ListParagraph"/>
        <w:numPr>
          <w:ilvl w:val="0"/>
          <w:numId w:val="1"/>
        </w:numPr>
        <w:spacing w:after="80"/>
      </w:pPr>
      <w:r>
        <w:t xml:space="preserve">Equity funds dominate the Top 30 (23 of 30 funds), followed by 'Other' (FoF) funds and Hybrid funds — reflecting equity's stronger long-term return profile.</w:t>
      </w:r>
    </w:p>
    <w:p>
      <w:pPr>
        <w:pStyle w:val="ListParagraph"/>
        <w:numPr>
          <w:ilvl w:val="0"/>
          <w:numId w:val="1"/>
        </w:numPr>
        <w:spacing w:after="80"/>
      </w:pPr>
      <w:r>
        <w:t xml:space="preserve">Quant Mutual Fund is the standout AMC, placing 8 of its schemes in the Top 30, including the #1 ranked Quant Small Cap Fund (score 75.50).</w:t>
      </w:r>
    </w:p>
    <w:p>
      <w:pPr>
        <w:pStyle w:val="ListParagraph"/>
        <w:numPr>
          <w:ilvl w:val="0"/>
          <w:numId w:val="1"/>
        </w:numPr>
        <w:spacing w:after="80"/>
      </w:pPr>
      <w:r>
        <w:t xml:space="preserve">ICICI Prudential Mutual Fund, HDFC Mutual Fund, and SBI Mutual Fund carry the highest total AUM in the overall dataset, reflecting investor trust and scale, even though scale alone doesn't guarantee a Top-30 score.</w:t>
      </w:r>
    </w:p>
    <w:p>
      <w:pPr>
        <w:pStyle w:val="ListParagraph"/>
        <w:numPr>
          <w:ilvl w:val="0"/>
          <w:numId w:val="1"/>
        </w:numPr>
        <w:spacing w:after="80"/>
      </w:pPr>
      <w:r>
        <w:t xml:space="preserve">The average expense ratio across all funds is about 0.72%, giving a useful benchmark for judging whether a specific fund is cheap or expensive relative to peers.</w:t>
      </w:r>
    </w:p>
    <w:p>
      <w:pPr>
        <w:pStyle w:val="Heading1"/>
        <w:spacing w:after="150" w:before="300"/>
      </w:pPr>
      <w:r>
        <w:t xml:space="preserve">8. Business Recommendations</w:t>
      </w:r>
    </w:p>
    <w:p>
      <w:pPr>
        <w:pStyle w:val="ListParagraph"/>
        <w:numPr>
          <w:ilvl w:val="0"/>
          <w:numId w:val="1"/>
        </w:numPr>
        <w:spacing w:after="80"/>
      </w:pPr>
      <w:r>
        <w:t xml:space="preserve">Use the Top 30 list as a starting shortlist, not a final decision — pair the Fund Score with the investor's own risk appetite and investment horizon, since the score does not directly encode volatility (beta/standard deviation) or downside risk.</w:t>
      </w:r>
    </w:p>
    <w:p>
      <w:pPr>
        <w:pStyle w:val="ListParagraph"/>
        <w:numPr>
          <w:ilvl w:val="0"/>
          <w:numId w:val="1"/>
        </w:numPr>
        <w:spacing w:after="80"/>
      </w:pPr>
      <w:r>
        <w:t xml:space="preserve">Favor funds with a strong 3-year track record and low expense ratio together, rather than chasing 1-year return spikes, which can be noisy and short-lived.</w:t>
      </w:r>
    </w:p>
    <w:p>
      <w:pPr>
        <w:pStyle w:val="ListParagraph"/>
        <w:numPr>
          <w:ilvl w:val="0"/>
          <w:numId w:val="1"/>
        </w:numPr>
        <w:spacing w:after="80"/>
      </w:pPr>
      <w:r>
        <w:t xml:space="preserve">Diversify across AMCs and categories rather than concentrating purely on the single top-scoring fund family, to reduce concentration risk.</w:t>
      </w:r>
    </w:p>
    <w:p>
      <w:pPr>
        <w:pStyle w:val="ListParagraph"/>
        <w:numPr>
          <w:ilvl w:val="0"/>
          <w:numId w:val="1"/>
        </w:numPr>
        <w:spacing w:after="80"/>
      </w:pPr>
      <w:r>
        <w:t xml:space="preserve">For risk-conscious or first-time investors, cross-check the Top 30 against risk_level and rating columns before investing, since the current score does not weight risk directly.</w:t>
      </w:r>
    </w:p>
    <w:p>
      <w:pPr>
        <w:pStyle w:val="ListParagraph"/>
        <w:numPr>
          <w:ilvl w:val="0"/>
          <w:numId w:val="1"/>
        </w:numPr>
        <w:spacing w:after="80"/>
      </w:pPr>
      <w:r>
        <w:t xml:space="preserve">Refresh this analysis periodically (e.g. quarterly) as returns, expense ratios, and fund ages change, so the ranking stays current.</w:t>
      </w:r>
    </w:p>
    <w:p>
      <w:pPr>
        <w:pStyle w:val="ListParagraph"/>
        <w:numPr>
          <w:ilvl w:val="0"/>
          <w:numId w:val="1"/>
        </w:numPr>
        <w:spacing w:after="80"/>
      </w:pPr>
      <w:r>
        <w:t xml:space="preserve">Extend the model in future iterations to optionally include risk-adjusted metrics (Sharpe/Sortino ratio) as an additional weighted factor for investors who prioritize risk-adjusted return over raw return.</w:t>
      </w:r>
    </w:p>
    <w:p>
      <w:pPr>
        <w:pStyle w:val="Heading1"/>
        <w:spacing w:after="150" w:before="300"/>
      </w:pPr>
      <w:r>
        <w:t xml:space="preserve">9. Deliverables</w:t>
      </w:r>
    </w:p>
    <w:p>
      <w:pPr>
        <w:pStyle w:val="ListParagraph"/>
        <w:numPr>
          <w:ilvl w:val="0"/>
          <w:numId w:val="1"/>
        </w:numPr>
        <w:spacing w:after="80"/>
      </w:pPr>
      <w:r>
        <w:t xml:space="preserve">Python script — data cleaning, EDA, MinMaxScaler-based normalization, and Fund Score computation (mutual_fund_scoring.py).</w:t>
      </w:r>
    </w:p>
    <w:p>
      <w:pPr>
        <w:pStyle w:val="ListParagraph"/>
        <w:numPr>
          <w:ilvl w:val="0"/>
          <w:numId w:val="1"/>
        </w:numPr>
        <w:spacing w:after="80"/>
      </w:pPr>
      <w:r>
        <w:t xml:space="preserve">Top 30 Mutual Funds Excel workbook — ranked, formatted, ready to filter/share (Top30_Mutual_Funds.xlsx).</w:t>
      </w:r>
    </w:p>
    <w:p>
      <w:pPr>
        <w:pStyle w:val="ListParagraph"/>
        <w:numPr>
          <w:ilvl w:val="0"/>
          <w:numId w:val="1"/>
        </w:numPr>
        <w:spacing w:after="80"/>
      </w:pPr>
      <w:r>
        <w:t xml:space="preserve">This Executive Summary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2026-09-19T13:10:51.721Z</dcterms:created>
  <dcterms:modified xsi:type="dcterms:W3CDTF">2026-09-19T13:10:51.730Z</dcterms:modified>
</cp:coreProperties>
</file>

<file path=docProps/custom.xml><?xml version="1.0" encoding="utf-8"?>
<Properties xmlns="http://schemas.openxmlformats.org/officeDocument/2006/custom-properties" xmlns:vt="http://schemas.openxmlformats.org/officeDocument/2006/docPropsVTypes"/>
</file>