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before="0"/>
        <w:jc w:val="center"/>
      </w:pPr>
      <w:r>
        <w:drawing>
          <wp:inline distT="0" distB="0" distL="0" distR="0">
            <wp:extent cx="1905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885950"/>
                    </a:xfrm>
                    <a:prstGeom prst="rect">
                      <a:avLst/>
                    </a:prstGeom>
                  </pic:spPr>
                </pic:pic>
              </a:graphicData>
            </a:graphic>
          </wp:inline>
        </w:drawing>
      </w:r>
    </w:p>
    <w:p>
      <w:pPr>
        <w:spacing w:after="60" w:before="0"/>
        <w:jc w:val="center"/>
      </w:pPr>
      <w:r>
        <w:rPr>
          <w:rFonts w:ascii="Arial" w:cs="Arial" w:eastAsia="Arial" w:hAnsi="Arial"/>
          <w:b/>
          <w:bCs/>
          <w:color w:val="D4A017"/>
          <w:sz w:val="80"/>
          <w:szCs w:val="80"/>
        </w:rPr>
        <w:t xml:space="preserve">HHD COIN</w:t>
      </w:r>
    </w:p>
    <w:p>
      <w:pPr>
        <w:spacing w:after="120" w:before="0"/>
        <w:jc w:val="center"/>
      </w:pPr>
      <w:r>
        <w:rPr>
          <w:rFonts w:ascii="Arial" w:cs="Arial" w:eastAsia="Arial" w:hAnsi="Arial"/>
          <w:b/>
          <w:bCs/>
          <w:color w:val="2E6DB4"/>
          <w:sz w:val="40"/>
          <w:szCs w:val="40"/>
        </w:rPr>
        <w:t xml:space="preserve">Ticker: HHD</w:t>
      </w:r>
    </w:p>
    <w:p>
      <w:pPr>
        <w:pBdr>
          <w:bottom w:val="single" w:color="D4A017" w:sz="6" w:space="4"/>
        </w:pBdr>
        <w:spacing w:after="160" w:before="0"/>
        <w:jc w:val="center"/>
      </w:pPr>
      <w:r>
        <w:rPr>
          <w:rFonts w:ascii="Arial" w:cs="Arial" w:eastAsia="Arial" w:hAnsi="Arial"/>
          <w:i/>
          <w:iCs/>
          <w:color w:val="FFFFFF"/>
          <w:sz w:val="26"/>
          <w:szCs w:val="26"/>
        </w:rPr>
        <w:t xml:space="preserve">"Empowering Education, Research &amp; Digital Innovation Through Blockchain"</w:t>
      </w:r>
    </w:p>
    <w:p>
      <w:r>
        <w:t xml:space="preserve"/>
      </w:r>
    </w:p>
    <w:p>
      <w:pPr>
        <w:jc w:val="center"/>
      </w:pPr>
      <w:r>
        <w:rPr>
          <w:rFonts w:ascii="Arial" w:cs="Arial" w:eastAsia="Arial" w:hAnsi="Arial"/>
          <w:b/>
          <w:bCs/>
          <w:color w:val="2E6DB4"/>
          <w:sz w:val="22"/>
          <w:szCs w:val="22"/>
        </w:rPr>
        <w:t xml:space="preserve">WHITEPAPER — VERSION 1.0</w:t>
      </w:r>
    </w:p>
    <w:p>
      <w:pPr>
        <w:jc w:val="center"/>
      </w:pPr>
      <w:r>
        <w:rPr>
          <w:rFonts w:ascii="Arial" w:cs="Arial" w:eastAsia="Arial" w:hAnsi="Arial"/>
          <w:color w:val="4A4A4A"/>
          <w:sz w:val="20"/>
          <w:szCs w:val="20"/>
        </w:rPr>
        <w:t xml:space="preserve">June 2026 | HHD Foundation | Vietnam — Southeast Asia — Global</w:t>
      </w:r>
    </w:p>
    <w:p>
      <w:r>
        <w:t xml:space="preserve"/>
      </w:r>
    </w:p>
    <w:p>
      <w:r>
        <w:t xml:space="preserve"/>
      </w:r>
    </w:p>
    <w:p>
      <w:pPr>
        <w:jc w:val="center"/>
      </w:pPr>
      <w:r>
        <w:rPr>
          <w:rFonts w:ascii="Arial" w:cs="Arial" w:eastAsia="Arial" w:hAnsi="Arial"/>
          <w:color w:val="4A4A4A"/>
          <w:sz w:val="20"/>
          <w:szCs w:val="20"/>
        </w:rPr>
        <w:t xml:space="preserve">Lead Author: Do Huu Hai, Ph.D. (PGS.TS.) — ORCID: 0000-0001-5811-7154</w:t>
      </w:r>
    </w:p>
    <w:p>
      <w:pPr>
        <w:jc w:val="center"/>
      </w:pPr>
      <w:r>
        <w:rPr>
          <w:rFonts w:ascii="Arial" w:cs="Arial" w:eastAsia="Arial" w:hAnsi="Arial"/>
          <w:color w:val="4A4A4A"/>
          <w:sz w:val="20"/>
          <w:szCs w:val="20"/>
        </w:rPr>
        <w:t xml:space="preserve">Viet Hung Industrial University (VIU) | Ton Duc Thang University</w:t>
      </w:r>
    </w:p>
    <w:p>
      <w:r>
        <w:t xml:space="preserve"/>
      </w:r>
    </w:p>
    <w:p>
      <w:r>
        <w:t xml:space="preserve"/>
      </w:r>
    </w:p>
    <w:p>
      <w:pPr>
        <w:jc w:val="center"/>
      </w:pPr>
      <w:r>
        <w:rPr>
          <w:rFonts w:ascii="Arial" w:cs="Arial" w:eastAsia="Arial" w:hAnsi="Arial"/>
          <w:b/>
          <w:bCs/>
          <w:color w:val="CC0000"/>
          <w:sz w:val="18"/>
          <w:szCs w:val="18"/>
        </w:rPr>
        <w:t xml:space="preserve">CONFIDENTIAL — FOR INFORMATIONAL PURPOSES ONLY</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LEGAL DISCLAIMER</w:t>
      </w:r>
    </w:p>
    <w:p>
      <w:pPr>
        <w:spacing w:after="80" w:before="80"/>
        <w:jc w:val="both"/>
      </w:pPr>
      <w:r>
        <w:rPr>
          <w:rFonts w:ascii="Arial" w:cs="Arial" w:eastAsia="Arial" w:hAnsi="Arial"/>
          <w:b w:val="false"/>
          <w:bCs w:val="false"/>
          <w:i w:val="false"/>
          <w:iCs w:val="false"/>
          <w:color w:val="4A4A4A"/>
          <w:sz w:val="22"/>
          <w:szCs w:val="22"/>
        </w:rPr>
        <w:t xml:space="preserve">This Whitepaper is provided for informational purposes only and does not constitute an offer to sell, a solicitation of an offer to buy, or a recommendation for investment in any security or financial instrument. HHD Coin (HHD) is a utility token designed to power the HHD ecosystem of education, research, and digital innovation.</w:t>
      </w:r>
    </w:p>
    <w:p>
      <w:pPr>
        <w:spacing w:after="80" w:before="80"/>
        <w:jc w:val="both"/>
      </w:pPr>
      <w:r>
        <w:rPr>
          <w:rFonts w:ascii="Arial" w:cs="Arial" w:eastAsia="Arial" w:hAnsi="Arial"/>
          <w:b w:val="false"/>
          <w:bCs w:val="false"/>
          <w:i w:val="false"/>
          <w:iCs w:val="false"/>
          <w:color w:val="4A4A4A"/>
          <w:sz w:val="22"/>
          <w:szCs w:val="22"/>
        </w:rPr>
        <w:t xml:space="preserve">This document does not constitute prospectus or offering document and is not intended to constitute an offer of securities or solicitation for investment in securities in any jurisdiction. HHD tokens are not securities, equity, debt, or any other financial instrument.</w:t>
      </w:r>
    </w:p>
    <w:p>
      <w:pPr>
        <w:spacing w:after="80" w:before="80"/>
        <w:jc w:val="both"/>
      </w:pPr>
      <w:r>
        <w:rPr>
          <w:rFonts w:ascii="Arial" w:cs="Arial" w:eastAsia="Arial" w:hAnsi="Arial"/>
          <w:b w:val="false"/>
          <w:bCs w:val="false"/>
          <w:i w:val="false"/>
          <w:iCs w:val="false"/>
          <w:color w:val="4A4A4A"/>
          <w:sz w:val="22"/>
          <w:szCs w:val="22"/>
        </w:rPr>
        <w:t xml:space="preserve">Participants should carefully review applicable laws and regulations of their jurisdiction before acquiring HHD tokens. The HHD Foundation makes no representations or warranties regarding the accuracy or completeness of information in this document.</w:t>
      </w:r>
    </w:p>
    <w:p>
      <w:pPr>
        <w:spacing w:after="80" w:before="80"/>
        <w:jc w:val="both"/>
      </w:pPr>
      <w:r>
        <w:rPr>
          <w:rFonts w:ascii="Arial" w:cs="Arial" w:eastAsia="Arial" w:hAnsi="Arial"/>
          <w:b w:val="false"/>
          <w:bCs w:val="false"/>
          <w:i w:val="false"/>
          <w:iCs w:val="false"/>
          <w:color w:val="4A4A4A"/>
          <w:sz w:val="22"/>
          <w:szCs w:val="22"/>
        </w:rPr>
        <w:t xml:space="preserve">Blockchain technology and cryptocurrency markets involve significant risks including but not limited to: regulatory uncertainty, technology risk, market volatility, liquidity risk, and loss of capital. Participants should only commit resources they can afford to lose entirely.</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EXECUTIVE SUMMARY</w:t>
      </w:r>
    </w:p>
    <w:p>
      <w:pPr>
        <w:spacing w:after="80" w:before="80"/>
        <w:jc w:val="both"/>
      </w:pPr>
      <w:r>
        <w:rPr>
          <w:rFonts w:ascii="Arial" w:cs="Arial" w:eastAsia="Arial" w:hAnsi="Arial"/>
          <w:b w:val="false"/>
          <w:bCs w:val="false"/>
          <w:i w:val="false"/>
          <w:iCs w:val="false"/>
          <w:color w:val="4A4A4A"/>
          <w:sz w:val="22"/>
          <w:szCs w:val="22"/>
        </w:rPr>
        <w:t xml:space="preserve">HHD Coin (ticker: HHD) is a utility blockchain token architected to serve as the economic backbone of a globally-oriented ecosystem spanning education technology (EdTech), scientific research, artificial intelligence, and digital transformation. Rooted in Vietnam and targeting Southeast Asia and international markets, HHD Coin is designed to democratize access to quality education, incentivize research excellence, and provide verifiable, decentralized infrastructure for knowledge-economy transactions.</w:t>
      </w:r>
    </w:p>
    <w:p>
      <w:pPr>
        <w:spacing w:after="80" w:before="80"/>
        <w:jc w:val="both"/>
      </w:pPr>
      <w:r>
        <w:rPr>
          <w:rFonts w:ascii="Arial" w:cs="Arial" w:eastAsia="Arial" w:hAnsi="Arial"/>
          <w:b w:val="false"/>
          <w:bCs w:val="false"/>
          <w:i w:val="false"/>
          <w:iCs w:val="false"/>
          <w:color w:val="4A4A4A"/>
          <w:sz w:val="22"/>
          <w:szCs w:val="22"/>
        </w:rPr>
        <w:t xml:space="preserve">The HHD project is built upon the BNB Smart Chain (BSC), leveraging EVM compatibility, low transaction fees (&lt; $0.01), high throughput (3,000+ TPS), and the vast liquidity ecosystem of Binance. The token architecture incorporates OpenZeppelin-audited smart contracts, anti-whale mechanisms, deflationary burning, staking rewards, and on-chain governance.</w:t>
      </w:r>
    </w:p>
    <w:p>
      <w:r>
        <w:t xml:space="preserve"/>
      </w:r>
    </w:p>
    <w:p>
      <w:pPr>
        <w:pStyle w:val="Heading2"/>
        <w:spacing w:after="140" w:before="300"/>
      </w:pPr>
      <w:r>
        <w:rPr>
          <w:rFonts w:ascii="Arial" w:cs="Arial" w:eastAsia="Arial" w:hAnsi="Arial"/>
          <w:b/>
          <w:bCs/>
          <w:color w:val="1A3C6E"/>
          <w:sz w:val="28"/>
          <w:szCs w:val="28"/>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Token Name</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Coin</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Ticker Symbol</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Blockchain</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BNB Smart Chain (BSC) — ERC-20 Compatible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Total Supply</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1,000,000,000 HHD (1 Billion)</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Initial Circulating Supply</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100,000,000 HHD (10%)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Hard Cap (Public Sale)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$25,000,000 USD</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Soft Cap (Public Sale)</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$3,000,000 USD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Seed Round Price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$0.005 / HHD</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Private Sale Price</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$0.010 / HHD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Public Sale Price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$0.020 / HHD</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Target Market Cap (Year 1)</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$20M – $50M USD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Target FDV (Year 1)</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$50M – $100M USD</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Primary Use Case</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Education, Research, AI &amp; Digital Transformation</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Target Markets</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Vietnam, Southeast Asia, Global</w:t>
            </w:r>
          </w:p>
        </w:tc>
      </w:tr>
      <w:tr>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Token Standard</w:t>
            </w:r>
          </w:p>
        </w:tc>
        <w:tc>
          <w:tcPr>
            <w:tcW w:type="dxa" w:w="5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BEP-20 (BSC) / ERC-20 (ETH)</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Smart Contract Audit</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CertiK + PeckShield (Planned)</w:t>
            </w:r>
          </w:p>
        </w:tc>
      </w:tr>
    </w:tbl>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INTRODUCTION — WHAT IS HHD COIN?</w:t>
      </w:r>
    </w:p>
    <w:p>
      <w:pPr>
        <w:spacing w:after="80" w:before="80"/>
        <w:jc w:val="both"/>
      </w:pPr>
      <w:r>
        <w:rPr>
          <w:rFonts w:ascii="Arial" w:cs="Arial" w:eastAsia="Arial" w:hAnsi="Arial"/>
          <w:b w:val="false"/>
          <w:bCs w:val="false"/>
          <w:i w:val="false"/>
          <w:iCs w:val="false"/>
          <w:color w:val="4A4A4A"/>
          <w:sz w:val="22"/>
          <w:szCs w:val="22"/>
        </w:rPr>
        <w:t xml:space="preserve">HHD Coin (HHD) is a utility token that powers a digital ecosystem connecting education, scientific research, artificial intelligence (AI), and digital transformation. In simple terms, HHD Coin lets students, researchers, educators, and small businesses pay for services, earn rewards, and govern a shared platform — all recorded transparently on a public blockchain.</w:t>
      </w:r>
    </w:p>
    <w:p>
      <w:pPr>
        <w:spacing w:after="80" w:before="80"/>
        <w:jc w:val="both"/>
      </w:pPr>
      <w:r>
        <w:rPr>
          <w:rFonts w:ascii="Arial" w:cs="Arial" w:eastAsia="Arial" w:hAnsi="Arial"/>
          <w:b w:val="false"/>
          <w:bCs w:val="false"/>
          <w:i w:val="false"/>
          <w:iCs w:val="false"/>
          <w:color w:val="4A4A4A"/>
          <w:sz w:val="22"/>
          <w:szCs w:val="22"/>
        </w:rPr>
        <w:t xml:space="preserve">The project addresses five concrete problems: (1) unequal access to quality education and research funding, (2) credential fraud and slow verification of degrees, (3) researchers not being directly rewarded for their work, (4) Vietnamese SMEs struggling to digitize, and (5) AI startups lacking early-stage funding in Southeast Asia. Each problem maps to a specific HHD product — see Section 1.6 for the full Problem → Solution → Mechanism breakdown.</w:t>
      </w:r>
    </w:p>
    <w:p>
      <w:pPr>
        <w:spacing w:after="80" w:before="80"/>
        <w:jc w:val="both"/>
      </w:pPr>
      <w:r>
        <w:rPr>
          <w:rFonts w:ascii="Arial" w:cs="Arial" w:eastAsia="Arial" w:hAnsi="Arial"/>
          <w:b w:val="false"/>
          <w:bCs w:val="false"/>
          <w:i w:val="false"/>
          <w:iCs w:val="false"/>
          <w:color w:val="4A4A4A"/>
          <w:sz w:val="22"/>
          <w:szCs w:val="22"/>
        </w:rPr>
        <w:t xml:space="preserve">HHD Coin is issued on BNB Smart Chain (BSC), a fast and low-cost blockchain network that is fully compatible with Ethereum tooling. The token has a fixed maximum supply of 1,000,000,000 HHD, a built-in deflationary burn mechanism, staking rewards of 8%–55% APY, and an on-chain governance system where token holders vote on the platform's future.</w:t>
      </w:r>
    </w:p>
    <w:p>
      <w:r>
        <w:t xml:space="preserve"/>
      </w:r>
    </w:p>
    <w:p>
      <w:pPr>
        <w:pStyle w:val="Heading2"/>
        <w:spacing w:after="140" w:before="300"/>
      </w:pPr>
      <w:r>
        <w:rPr>
          <w:rFonts w:ascii="Arial" w:cs="Arial" w:eastAsia="Arial" w:hAnsi="Arial"/>
          <w:b/>
          <w:bCs/>
          <w:color w:val="1A3C6E"/>
          <w:sz w:val="28"/>
          <w:szCs w:val="28"/>
        </w:rPr>
        <w:t xml:space="preserve">Glossary of Key Terms</w:t>
      </w:r>
    </w:p>
    <w:p>
      <w:pPr>
        <w:spacing w:after="80" w:before="80"/>
        <w:jc w:val="both"/>
      </w:pPr>
      <w:r>
        <w:rPr>
          <w:rFonts w:ascii="Arial" w:cs="Arial" w:eastAsia="Arial" w:hAnsi="Arial"/>
          <w:b w:val="false"/>
          <w:bCs w:val="false"/>
          <w:i w:val="false"/>
          <w:iCs w:val="false"/>
          <w:color w:val="4A4A4A"/>
          <w:sz w:val="22"/>
          <w:szCs w:val="22"/>
        </w:rPr>
        <w:t xml:space="preserve">This document uses standard blockchain terminology. For readers new to Web3, the table below defines each term on first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6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BEP-20 / ERC-20</w:t>
            </w:r>
          </w:p>
        </w:tc>
        <w:tc>
          <w:tcPr>
            <w:tcW w:type="dxa" w:w="66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Technical standards that define how a token behaves on BNB Smart Chain (BEP-20) or Ethereum (ERC-20) — e.g., how transfers and balances work.</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DAO (Decentralized Autonomous Organization)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 community-governed organization where decisions are made by token holders voting on-chain, rather than by a central management team.</w:t>
            </w:r>
          </w:p>
        </w:tc>
      </w:tr>
      <w:tr>
        <w:tc>
          <w:tcPr>
            <w:tcW w:type="dxa" w:w="2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DEX / CEX</w:t>
            </w:r>
          </w:p>
        </w:tc>
        <w:tc>
          <w:tcPr>
            <w:tcW w:type="dxa" w:w="66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Decentralized Exchange (e.g., PancakeSwap, no account needed) vs. Centralized Exchange (e.g., Binance, requires account/KYC).</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TGE (Token Generation Event)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The official date when HHD tokens are created and first distributed to participants.</w:t>
            </w:r>
          </w:p>
        </w:tc>
      </w:tr>
      <w:tr>
        <w:tc>
          <w:tcPr>
            <w:tcW w:type="dxa" w:w="2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Vesting / Cliff</w:t>
            </w:r>
          </w:p>
        </w:tc>
        <w:tc>
          <w:tcPr>
            <w:tcW w:type="dxa" w:w="66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 schedule that releases tokens gradually over time (vesting) after an initial waiting period (cliff), preventing early sell-offs.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APY (Annual Percentage Yield)</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The yearly reward rate earned by staking (locking) HHD tokens in the platform.</w:t>
            </w:r>
          </w:p>
        </w:tc>
      </w:tr>
      <w:tr>
        <w:tc>
          <w:tcPr>
            <w:tcW w:type="dxa" w:w="2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Burn</w:t>
            </w:r>
          </w:p>
        </w:tc>
        <w:tc>
          <w:tcPr>
            <w:tcW w:type="dxa" w:w="66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Permanently removing tokens from circulation by sending them to an unusable address, reducing total supply.</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FDV (Fully Diluted Valuation)</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The total market value of a token if its entire maximum supply were in circulation, at the current price.</w:t>
            </w:r>
          </w:p>
        </w:tc>
      </w:tr>
      <w:tr>
        <w:tc>
          <w:tcPr>
            <w:tcW w:type="dxa" w:w="2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IDO / IEO / ICO</w:t>
            </w:r>
          </w:p>
        </w:tc>
        <w:tc>
          <w:tcPr>
            <w:tcW w:type="dxa" w:w="66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Initial DEX/Exchange/Coin Offering — different methods of selling new tokens to the public.</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Multisig</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 wallet requiring multiple authorized signers (e.g., 5 of 9) to approve any transaction, preventing single-person control of funds.</w:t>
            </w:r>
          </w:p>
        </w:tc>
      </w:tr>
      <w:tr>
        <w:tc>
          <w:tcPr>
            <w:tcW w:type="dxa" w:w="2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NFT (Non-Fungible Token)</w:t>
            </w:r>
          </w:p>
        </w:tc>
        <w:tc>
          <w:tcPr>
            <w:tcW w:type="dxa" w:w="66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 unique digital certificate on the blockchain — used by HHD to represent verifiable academic credentials.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Smart Contract Audit</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An independent security review of the code by a specialist firm (e.g., CertiK) to find and fix vulnerabilities before launch.</w:t>
            </w:r>
          </w:p>
        </w:tc>
      </w:tr>
    </w:tbl>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I: PROJECT DESIGN</w:t>
      </w:r>
    </w:p>
    <w:p>
      <w:pPr>
        <w:pStyle w:val="Heading2"/>
        <w:spacing w:after="140" w:before="300"/>
      </w:pPr>
      <w:r>
        <w:rPr>
          <w:rFonts w:ascii="Arial" w:cs="Arial" w:eastAsia="Arial" w:hAnsi="Arial"/>
          <w:b/>
          <w:bCs/>
          <w:color w:val="1A3C6E"/>
          <w:sz w:val="28"/>
          <w:szCs w:val="28"/>
        </w:rPr>
        <w:t xml:space="preserve">1.1 Project Name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Project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HHD Coin — HHD Foundation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Issuing Entity (Vietnam)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HHDCoin Joint Stock Company (Công ty Cổ phần HHDCoin)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Ticker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HHD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Slogan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"Empower Knowledge. Tokenize Innovation. Transform the Future."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Official Website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https://hhdcoin.net (Planned)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Smart Contract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BNB Smart Chain — BEP-20 Standard</w:t>
            </w:r>
          </w:p>
        </w:tc>
      </w:tr>
    </w:tbl>
    <w:p>
      <w:r>
        <w:t xml:space="preserve"/>
      </w:r>
    </w:p>
    <w:p>
      <w:r>
        <w:t xml:space="preserve"/>
      </w:r>
    </w:p>
    <w:p>
      <w:pPr>
        <w:pStyle w:val="Heading2"/>
        <w:spacing w:after="140" w:before="300"/>
      </w:pPr>
      <w:r>
        <w:rPr>
          <w:rFonts w:ascii="Arial" w:cs="Arial" w:eastAsia="Arial" w:hAnsi="Arial"/>
          <w:b/>
          <w:bCs/>
          <w:color w:val="1A3C6E"/>
          <w:sz w:val="28"/>
          <w:szCs w:val="28"/>
        </w:rPr>
        <w:t xml:space="preserve">1.2 Vision</w:t>
      </w:r>
    </w:p>
    <w:p>
      <w:pPr>
        <w:spacing w:after="80" w:before="80"/>
        <w:jc w:val="both"/>
      </w:pPr>
      <w:r>
        <w:rPr>
          <w:rFonts w:ascii="Arial" w:cs="Arial" w:eastAsia="Arial" w:hAnsi="Arial"/>
          <w:b w:val="false"/>
          <w:bCs w:val="false"/>
          <w:i w:val="false"/>
          <w:iCs w:val="false"/>
          <w:color w:val="4A4A4A"/>
          <w:sz w:val="22"/>
          <w:szCs w:val="22"/>
        </w:rPr>
        <w:t xml:space="preserve">To become the leading blockchain-powered knowledge economy token in Southeast Asia by 2030 — enabling a decentralized ecosystem where education, research, AI-driven innovation, and digital transformation are accessible, incentivized, and borderless.</w:t>
      </w:r>
    </w:p>
    <w:p>
      <w:pPr>
        <w:spacing w:after="80" w:before="80"/>
        <w:jc w:val="both"/>
      </w:pPr>
      <w:r>
        <w:rPr>
          <w:rFonts w:ascii="Arial" w:cs="Arial" w:eastAsia="Arial" w:hAnsi="Arial"/>
          <w:b w:val="false"/>
          <w:bCs w:val="false"/>
          <w:i w:val="false"/>
          <w:iCs w:val="false"/>
          <w:color w:val="4A4A4A"/>
          <w:sz w:val="22"/>
          <w:szCs w:val="22"/>
        </w:rPr>
        <w:t xml:space="preserve">HHD Coin envisions a world where academic credentials are verifiable on-chain, research contributions are rewarded in real-time, and digital learning platforms operate without centralized gatekeepers. By anchoring economic value to the creation and dissemination of knowledge, HHD aims to be the bridge between the traditional academic world and the decentralized economy of Web3.</w:t>
      </w:r>
    </w:p>
    <w:p>
      <w:pPr>
        <w:pStyle w:val="Heading2"/>
        <w:spacing w:after="140" w:before="300"/>
      </w:pPr>
      <w:r>
        <w:rPr>
          <w:rFonts w:ascii="Arial" w:cs="Arial" w:eastAsia="Arial" w:hAnsi="Arial"/>
          <w:b/>
          <w:bCs/>
          <w:color w:val="1A3C6E"/>
          <w:sz w:val="28"/>
          <w:szCs w:val="28"/>
        </w:rPr>
        <w:t xml:space="preserve">1.3 Mission</w:t>
      </w:r>
    </w:p>
    <w:p>
      <w:pPr>
        <w:spacing w:after="80" w:before="80"/>
        <w:jc w:val="both"/>
      </w:pPr>
      <w:r>
        <w:rPr>
          <w:rFonts w:ascii="Arial" w:cs="Arial" w:eastAsia="Arial" w:hAnsi="Arial"/>
          <w:b w:val="false"/>
          <w:bCs w:val="false"/>
          <w:i w:val="false"/>
          <w:iCs w:val="false"/>
          <w:color w:val="4A4A4A"/>
          <w:sz w:val="22"/>
          <w:szCs w:val="22"/>
        </w:rPr>
        <w:t xml:space="preserve">The mission of HHD Coin is threefold:</w:t>
      </w:r>
    </w:p>
    <w:p>
      <w:pPr>
        <w:pStyle w:val="ListParagraph"/>
        <w:numPr>
          <w:ilvl w:val="0"/>
          <w:numId w:val="2"/>
        </w:numPr>
        <w:spacing w:after="60" w:before="60"/>
      </w:pPr>
      <w:r>
        <w:rPr>
          <w:rFonts w:ascii="Arial" w:cs="Arial" w:eastAsia="Arial" w:hAnsi="Arial"/>
          <w:color w:val="4A4A4A"/>
          <w:sz w:val="22"/>
          <w:szCs w:val="22"/>
        </w:rPr>
        <w:t xml:space="preserve">DEMOCRATIZE: Remove financial and geographic barriers to quality education and research resources through tokenized incentives and decentralized infrastructure.</w:t>
      </w:r>
    </w:p>
    <w:p>
      <w:pPr>
        <w:pStyle w:val="ListParagraph"/>
        <w:numPr>
          <w:ilvl w:val="0"/>
          <w:numId w:val="2"/>
        </w:numPr>
        <w:spacing w:after="60" w:before="60"/>
      </w:pPr>
      <w:r>
        <w:rPr>
          <w:rFonts w:ascii="Arial" w:cs="Arial" w:eastAsia="Arial" w:hAnsi="Arial"/>
          <w:color w:val="4A4A4A"/>
          <w:sz w:val="22"/>
          <w:szCs w:val="22"/>
        </w:rPr>
        <w:t xml:space="preserve">INCENTIVIZE: Reward researchers, educators, students, and innovators with HHD tokens for measurable contributions to knowledge creation and dissemination.</w:t>
      </w:r>
    </w:p>
    <w:p>
      <w:pPr>
        <w:pStyle w:val="ListParagraph"/>
        <w:numPr>
          <w:ilvl w:val="0"/>
          <w:numId w:val="2"/>
        </w:numPr>
        <w:spacing w:after="60" w:before="60"/>
      </w:pPr>
      <w:r>
        <w:rPr>
          <w:rFonts w:ascii="Arial" w:cs="Arial" w:eastAsia="Arial" w:hAnsi="Arial"/>
          <w:color w:val="4A4A4A"/>
          <w:sz w:val="22"/>
          <w:szCs w:val="22"/>
        </w:rPr>
        <w:t xml:space="preserve">TRANSFORM: Accelerate digital transformation in higher education institutions, research centers, SMEs, and public sector organizations across Vietnam, Southeast Asia, and globally.</w:t>
      </w:r>
    </w:p>
    <w:p>
      <w:pPr>
        <w:pStyle w:val="Heading2"/>
        <w:spacing w:after="140" w:before="300"/>
      </w:pPr>
      <w:r>
        <w:rPr>
          <w:rFonts w:ascii="Arial" w:cs="Arial" w:eastAsia="Arial" w:hAnsi="Arial"/>
          <w:b/>
          <w:bCs/>
          <w:color w:val="1A3C6E"/>
          <w:sz w:val="28"/>
          <w:szCs w:val="28"/>
        </w:rPr>
        <w:t xml:space="preserve">1.4 Core Values</w:t>
      </w:r>
    </w:p>
    <w:p>
      <w:pPr>
        <w:pStyle w:val="ListParagraph"/>
        <w:numPr>
          <w:ilvl w:val="0"/>
          <w:numId w:val="2"/>
        </w:numPr>
        <w:spacing w:after="60" w:before="60"/>
      </w:pPr>
      <w:r>
        <w:rPr>
          <w:rFonts w:ascii="Arial" w:cs="Arial" w:eastAsia="Arial" w:hAnsi="Arial"/>
          <w:color w:val="4A4A4A"/>
          <w:sz w:val="22"/>
          <w:szCs w:val="22"/>
        </w:rPr>
        <w:t xml:space="preserve">Transparency: All token allocations, burns, governance votes, and treasury activities are publicly verifiable on-chain.</w:t>
      </w:r>
    </w:p>
    <w:p>
      <w:pPr>
        <w:pStyle w:val="ListParagraph"/>
        <w:numPr>
          <w:ilvl w:val="0"/>
          <w:numId w:val="2"/>
        </w:numPr>
        <w:spacing w:after="60" w:before="60"/>
      </w:pPr>
      <w:r>
        <w:rPr>
          <w:rFonts w:ascii="Arial" w:cs="Arial" w:eastAsia="Arial" w:hAnsi="Arial"/>
          <w:color w:val="4A4A4A"/>
          <w:sz w:val="22"/>
          <w:szCs w:val="22"/>
        </w:rPr>
        <w:t xml:space="preserve">Inclusivity: HHD is designed for accessibility — from rural Vietnamese students to global research institutions.</w:t>
      </w:r>
    </w:p>
    <w:p>
      <w:pPr>
        <w:pStyle w:val="ListParagraph"/>
        <w:numPr>
          <w:ilvl w:val="0"/>
          <w:numId w:val="2"/>
        </w:numPr>
        <w:spacing w:after="60" w:before="60"/>
      </w:pPr>
      <w:r>
        <w:rPr>
          <w:rFonts w:ascii="Arial" w:cs="Arial" w:eastAsia="Arial" w:hAnsi="Arial"/>
          <w:color w:val="4A4A4A"/>
          <w:sz w:val="22"/>
          <w:szCs w:val="22"/>
        </w:rPr>
        <w:t xml:space="preserve">Innovation: HHD continuously integrates AI, blockchain, and emerging technologies to improve the knowledge economy.</w:t>
      </w:r>
    </w:p>
    <w:p>
      <w:pPr>
        <w:pStyle w:val="ListParagraph"/>
        <w:numPr>
          <w:ilvl w:val="0"/>
          <w:numId w:val="2"/>
        </w:numPr>
        <w:spacing w:after="60" w:before="60"/>
      </w:pPr>
      <w:r>
        <w:rPr>
          <w:rFonts w:ascii="Arial" w:cs="Arial" w:eastAsia="Arial" w:hAnsi="Arial"/>
          <w:color w:val="4A4A4A"/>
          <w:sz w:val="22"/>
          <w:szCs w:val="22"/>
        </w:rPr>
        <w:t xml:space="preserve">Sustainability: Deflationary tokenomics, treasury management, and ecosystem reinvestment ensure long-term value preservation.</w:t>
      </w:r>
    </w:p>
    <w:p>
      <w:pPr>
        <w:pStyle w:val="ListParagraph"/>
        <w:numPr>
          <w:ilvl w:val="0"/>
          <w:numId w:val="2"/>
        </w:numPr>
        <w:spacing w:after="60" w:before="60"/>
      </w:pPr>
      <w:r>
        <w:rPr>
          <w:rFonts w:ascii="Arial" w:cs="Arial" w:eastAsia="Arial" w:hAnsi="Arial"/>
          <w:color w:val="4A4A4A"/>
          <w:sz w:val="22"/>
          <w:szCs w:val="22"/>
        </w:rPr>
        <w:t xml:space="preserve">Integrity: Academic and professional standards are upheld in all project activities, partnerships, and communications.</w:t>
      </w:r>
    </w:p>
    <w:p>
      <w:pPr>
        <w:pStyle w:val="ListParagraph"/>
        <w:numPr>
          <w:ilvl w:val="0"/>
          <w:numId w:val="2"/>
        </w:numPr>
        <w:spacing w:after="60" w:before="60"/>
      </w:pPr>
      <w:r>
        <w:rPr>
          <w:rFonts w:ascii="Arial" w:cs="Arial" w:eastAsia="Arial" w:hAnsi="Arial"/>
          <w:color w:val="4A4A4A"/>
          <w:sz w:val="22"/>
          <w:szCs w:val="22"/>
        </w:rPr>
        <w:t xml:space="preserve">Community-First: Token holders participate in governance, ensuring the project evolves to serve real user needs.</w:t>
      </w:r>
    </w:p>
    <w:p>
      <w:pPr>
        <w:pStyle w:val="Heading2"/>
        <w:spacing w:after="140" w:before="300"/>
      </w:pPr>
      <w:r>
        <w:rPr>
          <w:rFonts w:ascii="Arial" w:cs="Arial" w:eastAsia="Arial" w:hAnsi="Arial"/>
          <w:b/>
          <w:bCs/>
          <w:color w:val="1A3C6E"/>
          <w:sz w:val="28"/>
          <w:szCs w:val="28"/>
        </w:rPr>
        <w:t xml:space="preserve">1.5 Market Problem Analysis</w:t>
      </w:r>
    </w:p>
    <w:p>
      <w:pPr>
        <w:spacing w:after="80" w:before="80"/>
        <w:jc w:val="both"/>
      </w:pPr>
      <w:r>
        <w:rPr>
          <w:rFonts w:ascii="Arial" w:cs="Arial" w:eastAsia="Arial" w:hAnsi="Arial"/>
          <w:b w:val="false"/>
          <w:bCs w:val="false"/>
          <w:i w:val="false"/>
          <w:iCs w:val="false"/>
          <w:color w:val="4A4A4A"/>
          <w:sz w:val="22"/>
          <w:szCs w:val="22"/>
        </w:rPr>
        <w:t xml:space="preserve">The global education and research sector faces systemic structural challenges that blockchain and tokenization can uniquely address:</w:t>
      </w:r>
    </w:p>
    <w:p>
      <w:pPr>
        <w:pStyle w:val="Heading3"/>
        <w:spacing w:after="100" w:before="200"/>
      </w:pPr>
      <w:r>
        <w:rPr>
          <w:rFonts w:ascii="Arial" w:cs="Arial" w:eastAsia="Arial" w:hAnsi="Arial"/>
          <w:b/>
          <w:bCs/>
          <w:color w:val="2E6DB4"/>
          <w:sz w:val="24"/>
          <w:szCs w:val="24"/>
        </w:rPr>
        <w:t xml:space="preserve">Problem 1: Inequitable Access to Education &amp; Research</w:t>
      </w:r>
    </w:p>
    <w:p>
      <w:pPr>
        <w:spacing w:after="80" w:before="80"/>
        <w:jc w:val="both"/>
      </w:pPr>
      <w:r>
        <w:rPr>
          <w:rFonts w:ascii="Arial" w:cs="Arial" w:eastAsia="Arial" w:hAnsi="Arial"/>
          <w:b w:val="false"/>
          <w:bCs w:val="false"/>
          <w:i w:val="false"/>
          <w:iCs w:val="false"/>
          <w:color w:val="4A4A4A"/>
          <w:sz w:val="22"/>
          <w:szCs w:val="22"/>
        </w:rPr>
        <w:t xml:space="preserve">Over 617 million children globally lack basic literacy (UNESCO, 2024). In Vietnam and Southeast Asia, access to high-quality education is constrained by geography, economics, and institutional capacity. Research funding is concentrated in developed nations, leaving ASEAN researchers underserved.</w:t>
      </w:r>
    </w:p>
    <w:p>
      <w:pPr>
        <w:pStyle w:val="Heading3"/>
        <w:spacing w:after="100" w:before="200"/>
      </w:pPr>
      <w:r>
        <w:rPr>
          <w:rFonts w:ascii="Arial" w:cs="Arial" w:eastAsia="Arial" w:hAnsi="Arial"/>
          <w:b/>
          <w:bCs/>
          <w:color w:val="2E6DB4"/>
          <w:sz w:val="24"/>
          <w:szCs w:val="24"/>
        </w:rPr>
        <w:t xml:space="preserve">Problem 2: Lack of Verifiable Credentials</w:t>
      </w:r>
    </w:p>
    <w:p>
      <w:pPr>
        <w:spacing w:after="80" w:before="80"/>
        <w:jc w:val="both"/>
      </w:pPr>
      <w:r>
        <w:rPr>
          <w:rFonts w:ascii="Arial" w:cs="Arial" w:eastAsia="Arial" w:hAnsi="Arial"/>
          <w:b w:val="false"/>
          <w:bCs w:val="false"/>
          <w:i w:val="false"/>
          <w:iCs w:val="false"/>
          <w:color w:val="4A4A4A"/>
          <w:sz w:val="22"/>
          <w:szCs w:val="22"/>
        </w:rPr>
        <w:t xml:space="preserve">Academic credential fraud costs employers and institutions billions annually. In Vietnam alone, fraudulent degrees are a significant institutional concern. Traditional verification systems are slow, expensive, and centralized.</w:t>
      </w:r>
    </w:p>
    <w:p>
      <w:pPr>
        <w:pStyle w:val="Heading3"/>
        <w:spacing w:after="100" w:before="200"/>
      </w:pPr>
      <w:r>
        <w:rPr>
          <w:rFonts w:ascii="Arial" w:cs="Arial" w:eastAsia="Arial" w:hAnsi="Arial"/>
          <w:b/>
          <w:bCs/>
          <w:color w:val="2E6DB4"/>
          <w:sz w:val="24"/>
          <w:szCs w:val="24"/>
        </w:rPr>
        <w:t xml:space="preserve">Problem 3: Research Monetization Gap</w:t>
      </w:r>
    </w:p>
    <w:p>
      <w:pPr>
        <w:spacing w:after="80" w:before="80"/>
        <w:jc w:val="both"/>
      </w:pPr>
      <w:r>
        <w:rPr>
          <w:rFonts w:ascii="Arial" w:cs="Arial" w:eastAsia="Arial" w:hAnsi="Arial"/>
          <w:b w:val="false"/>
          <w:bCs w:val="false"/>
          <w:i w:val="false"/>
          <w:iCs w:val="false"/>
          <w:color w:val="4A4A4A"/>
          <w:sz w:val="22"/>
          <w:szCs w:val="22"/>
        </w:rPr>
        <w:t xml:space="preserve">Academic researchers and educators are rarely directly compensated for their intellectual contributions. Citation systems, publishing fees, and paywalled journals extract value from researchers without proportional returns.</w:t>
      </w:r>
    </w:p>
    <w:p>
      <w:pPr>
        <w:pStyle w:val="Heading3"/>
        <w:spacing w:after="100" w:before="200"/>
      </w:pPr>
      <w:r>
        <w:rPr>
          <w:rFonts w:ascii="Arial" w:cs="Arial" w:eastAsia="Arial" w:hAnsi="Arial"/>
          <w:b/>
          <w:bCs/>
          <w:color w:val="2E6DB4"/>
          <w:sz w:val="24"/>
          <w:szCs w:val="24"/>
        </w:rPr>
        <w:t xml:space="preserve">Problem 4: Digital Transformation Bottlenecks</w:t>
      </w:r>
    </w:p>
    <w:p>
      <w:pPr>
        <w:spacing w:after="80" w:before="80"/>
        <w:jc w:val="both"/>
      </w:pPr>
      <w:r>
        <w:rPr>
          <w:rFonts w:ascii="Arial" w:cs="Arial" w:eastAsia="Arial" w:hAnsi="Arial"/>
          <w:b w:val="false"/>
          <w:bCs w:val="false"/>
          <w:i w:val="false"/>
          <w:iCs w:val="false"/>
          <w:color w:val="4A4A4A"/>
          <w:sz w:val="22"/>
          <w:szCs w:val="22"/>
        </w:rPr>
        <w:t xml:space="preserve">Vietnamese SMEs and educational institutions face significant barriers to digital adoption — high costs, lack of incentives, and fragmented tooling. There is no unified tokenized incentive layer for digital transformation.</w:t>
      </w:r>
    </w:p>
    <w:p>
      <w:pPr>
        <w:pStyle w:val="Heading3"/>
        <w:spacing w:after="100" w:before="200"/>
      </w:pPr>
      <w:r>
        <w:rPr>
          <w:rFonts w:ascii="Arial" w:cs="Arial" w:eastAsia="Arial" w:hAnsi="Arial"/>
          <w:b/>
          <w:bCs/>
          <w:color w:val="2E6DB4"/>
          <w:sz w:val="24"/>
          <w:szCs w:val="24"/>
        </w:rPr>
        <w:t xml:space="preserve">Problem 5: AI &amp; Innovation Funding Gaps</w:t>
      </w:r>
    </w:p>
    <w:p>
      <w:pPr>
        <w:spacing w:after="80" w:before="80"/>
        <w:jc w:val="both"/>
      </w:pPr>
      <w:r>
        <w:rPr>
          <w:rFonts w:ascii="Arial" w:cs="Arial" w:eastAsia="Arial" w:hAnsi="Arial"/>
          <w:b w:val="false"/>
          <w:bCs w:val="false"/>
          <w:i w:val="false"/>
          <w:iCs w:val="false"/>
          <w:color w:val="4A4A4A"/>
          <w:sz w:val="22"/>
          <w:szCs w:val="22"/>
        </w:rPr>
        <w:t xml:space="preserve">Early-stage AI and deep-tech startups in Vietnam and Southeast Asia struggle to access seed funding from traditional VCs. Blockchain-based crowdfunding and tokenized equity have not been effectively deployed in this sector.</w:t>
      </w:r>
    </w:p>
    <w:p>
      <w:pPr>
        <w:pStyle w:val="Heading2"/>
        <w:spacing w:after="140" w:before="300"/>
      </w:pPr>
      <w:r>
        <w:rPr>
          <w:rFonts w:ascii="Arial" w:cs="Arial" w:eastAsia="Arial" w:hAnsi="Arial"/>
          <w:b/>
          <w:bCs/>
          <w:color w:val="1A3C6E"/>
          <w:sz w:val="28"/>
          <w:szCs w:val="28"/>
        </w:rPr>
        <w:t xml:space="preserve">1.6 HHD Coin Solution Framework</w:t>
      </w:r>
    </w:p>
    <w:p>
      <w:pPr>
        <w:spacing w:after="80" w:before="80"/>
        <w:jc w:val="both"/>
      </w:pPr>
      <w:r>
        <w:rPr>
          <w:rFonts w:ascii="Arial" w:cs="Arial" w:eastAsia="Arial" w:hAnsi="Arial"/>
          <w:b w:val="false"/>
          <w:bCs w:val="false"/>
          <w:i w:val="false"/>
          <w:iCs w:val="false"/>
          <w:color w:val="4A4A4A"/>
          <w:sz w:val="22"/>
          <w:szCs w:val="22"/>
        </w:rPr>
        <w:t xml:space="preserve">Connecting directly back to the five market problems identified in Section 1.5, HHD Coin deploys five purpose-built product modules. Each module uses the HHD token as its native medium of exchange, reward, and governance — ensuring that real platform usage drives real token demand (not speculation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HHD Solution</w:t>
            </w:r>
          </w:p>
        </w:tc>
        <w:tc>
          <w:tcPr>
            <w:tcW w:type="dxa" w:w="4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Inequitable access</w:t>
            </w:r>
          </w:p>
        </w:tc>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EdTech Platform</w:t>
            </w:r>
          </w:p>
        </w:tc>
        <w:tc>
          <w:tcPr>
            <w:tcW w:type="dxa" w:w="4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Tokenized scholarships, course rewards, decentralized library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Credential fraud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Credential Chain</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NFT-based degrees and certifications on BSC</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Research monetization</w:t>
            </w:r>
          </w:p>
        </w:tc>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Research DAO</w:t>
            </w:r>
          </w:p>
        </w:tc>
        <w:tc>
          <w:tcPr>
            <w:tcW w:type="dxa" w:w="4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Peer-reviewed token rewards, citation incentives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Digital transformation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DigiX Program</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Token grants for SME digitization, AI adoption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AI funding gaps</w:t>
            </w:r>
          </w:p>
        </w:tc>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Innovation Fund</w:t>
            </w:r>
          </w:p>
        </w:tc>
        <w:tc>
          <w:tcPr>
            <w:tcW w:type="dxa" w:w="4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DAO-governed micro-grants, launchpad for AI startups</w:t>
            </w:r>
          </w:p>
        </w:tc>
      </w:tr>
    </w:tbl>
    <w:p>
      <w:r>
        <w:t xml:space="preserve"/>
      </w:r>
    </w:p>
    <w:p>
      <w:pPr>
        <w:pStyle w:val="Heading3"/>
        <w:spacing w:after="100" w:before="200"/>
      </w:pPr>
      <w:r>
        <w:rPr>
          <w:rFonts w:ascii="Arial" w:cs="Arial" w:eastAsia="Arial" w:hAnsi="Arial"/>
          <w:b/>
          <w:bCs/>
          <w:color w:val="2E6DB4"/>
          <w:sz w:val="24"/>
          <w:szCs w:val="24"/>
        </w:rPr>
        <w:t xml:space="preserve">How Each Module Works in Practice</w:t>
      </w:r>
    </w:p>
    <w:p>
      <w:pPr>
        <w:pStyle w:val="ListParagraph"/>
        <w:numPr>
          <w:ilvl w:val="0"/>
          <w:numId w:val="2"/>
        </w:numPr>
        <w:spacing w:after="60" w:before="60"/>
      </w:pPr>
      <w:r>
        <w:rPr>
          <w:rFonts w:ascii="Arial" w:cs="Arial" w:eastAsia="Arial" w:hAnsi="Arial"/>
          <w:color w:val="4A4A4A"/>
          <w:sz w:val="22"/>
          <w:szCs w:val="22"/>
        </w:rPr>
        <w:t xml:space="preserve">HHD EdTech Platform: Students earn HHD for completing verified courses and milestones; partner institutions accept HHD for tuition discounts and scholarship top-ups. A decentralized library uses IPFS storage so course materials remain accessible even if a single server goes offline.</w:t>
      </w:r>
    </w:p>
    <w:p>
      <w:pPr>
        <w:pStyle w:val="ListParagraph"/>
        <w:numPr>
          <w:ilvl w:val="0"/>
          <w:numId w:val="2"/>
        </w:numPr>
        <w:spacing w:after="60" w:before="60"/>
      </w:pPr>
      <w:r>
        <w:rPr>
          <w:rFonts w:ascii="Arial" w:cs="Arial" w:eastAsia="Arial" w:hAnsi="Arial"/>
          <w:color w:val="4A4A4A"/>
          <w:sz w:val="22"/>
          <w:szCs w:val="22"/>
        </w:rPr>
        <w:t xml:space="preserve">HHD Credential Chain: When a university issues a degree, it mints a soulbound (non-transferable) NFT certificate on BSC (see Section 6). Employers and other institutions verify the credential instantly on-chain — no phone calls or paperwork required.</w:t>
      </w:r>
    </w:p>
    <w:p>
      <w:pPr>
        <w:pStyle w:val="ListParagraph"/>
        <w:numPr>
          <w:ilvl w:val="0"/>
          <w:numId w:val="2"/>
        </w:numPr>
        <w:spacing w:after="60" w:before="60"/>
      </w:pPr>
      <w:r>
        <w:rPr>
          <w:rFonts w:ascii="Arial" w:cs="Arial" w:eastAsia="Arial" w:hAnsi="Arial"/>
          <w:color w:val="4A4A4A"/>
          <w:sz w:val="22"/>
          <w:szCs w:val="22"/>
        </w:rPr>
        <w:t xml:space="preserve">HHD Research DAO: Researchers submit papers or datasets; peer reviewers (staked HHD holders) vote on quality, and approved contributions receive HHD grants from the Treasury. Citation tracking (via HHDAI) automatically distributes ongoing micro-rewards as a paper gets cited.</w:t>
      </w:r>
    </w:p>
    <w:p>
      <w:pPr>
        <w:pStyle w:val="ListParagraph"/>
        <w:numPr>
          <w:ilvl w:val="0"/>
          <w:numId w:val="2"/>
        </w:numPr>
        <w:spacing w:after="60" w:before="60"/>
      </w:pPr>
      <w:r>
        <w:rPr>
          <w:rFonts w:ascii="Arial" w:cs="Arial" w:eastAsia="Arial" w:hAnsi="Arial"/>
          <w:color w:val="4A4A4A"/>
          <w:sz w:val="22"/>
          <w:szCs w:val="22"/>
        </w:rPr>
        <w:t xml:space="preserve">HHD DigiX Program: Vietnamese SMEs complete a free AI-powered "digital maturity" assessment via HHDAI; based on the score, qualifying businesses receive HHD grants redeemable for digital tools, training, and consulting from ecosystem partners.</w:t>
      </w:r>
    </w:p>
    <w:p>
      <w:pPr>
        <w:pStyle w:val="ListParagraph"/>
        <w:numPr>
          <w:ilvl w:val="0"/>
          <w:numId w:val="2"/>
        </w:numPr>
        <w:spacing w:after="60" w:before="60"/>
      </w:pPr>
      <w:r>
        <w:rPr>
          <w:rFonts w:ascii="Arial" w:cs="Arial" w:eastAsia="Arial" w:hAnsi="Arial"/>
          <w:color w:val="4A4A4A"/>
          <w:sz w:val="22"/>
          <w:szCs w:val="22"/>
        </w:rPr>
        <w:t xml:space="preserve">HHD Innovation Fund: Early-stage AI/deep-tech startups apply for micro-grants ($5K–$50K equivalent in HHD) reviewed by the DAO Research Council; promising teams graduate to the HHD Launchpad (Section 6 of Technical Architecture) for a public token sale.</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II: BLOCKCHAIN ARCHITECTURE</w:t>
      </w:r>
    </w:p>
    <w:p>
      <w:pPr>
        <w:pStyle w:val="Heading2"/>
        <w:spacing w:after="140" w:before="300"/>
      </w:pPr>
      <w:r>
        <w:rPr>
          <w:rFonts w:ascii="Arial" w:cs="Arial" w:eastAsia="Arial" w:hAnsi="Arial"/>
          <w:b/>
          <w:bCs/>
          <w:color w:val="1A3C6E"/>
          <w:sz w:val="28"/>
          <w:szCs w:val="28"/>
        </w:rPr>
        <w:t xml:space="preserve">2.1 Blockchain Platform Comparison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900"/>
        <w:gridCol w:w="1260"/>
        <w:gridCol w:w="1600"/>
      </w:tblGrid>
      <w:tr>
        <w:trPr>
          <w:tblHeader/>
        </w:trPr>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TX Speed</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Gas Fee</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Ecosystem</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EVM</w:t>
            </w:r>
          </w:p>
        </w:tc>
        <w:tc>
          <w:tcPr>
            <w:tcW w:type="dxa" w:w="1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Liquidity</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Ethereum (ERC-20)</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15 TPS</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$5–$50</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Largest</w:t>
            </w:r>
          </w:p>
        </w:tc>
        <w:tc>
          <w:tcPr>
            <w:tcW w:type="dxa" w:w="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Yes</w:t>
            </w:r>
          </w:p>
        </w:tc>
        <w:tc>
          <w:tcPr>
            <w:tcW w:type="dxa" w:w="1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Highest</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Too expensive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BNB Smart Chain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3,000 TPS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&lt;$0.01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Large</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Very High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OPTIMAL</w:t>
            </w:r>
          </w:p>
        </w:tc>
      </w:tr>
      <w:tr>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Solana</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65,000 TPS</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&lt;$0.001</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Growing</w:t>
            </w:r>
          </w:p>
        </w:tc>
        <w:tc>
          <w:tcPr>
            <w:tcW w:type="dxa" w:w="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No</w:t>
            </w:r>
          </w:p>
        </w:tc>
        <w:tc>
          <w:tcPr>
            <w:tcW w:type="dxa" w:w="1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High</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Less compatible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Polygon (L2)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7,000 TPS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&lt;$0.001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Alternative</w:t>
            </w:r>
          </w:p>
        </w:tc>
      </w:tr>
      <w:tr>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Avalanche</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4,500 TPS</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&lt;$0.01</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Growing</w:t>
            </w:r>
          </w:p>
        </w:tc>
        <w:tc>
          <w:tcPr>
            <w:tcW w:type="dxa" w:w="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Yes</w:t>
            </w:r>
          </w:p>
        </w:tc>
        <w:tc>
          <w:tcPr>
            <w:tcW w:type="dxa" w:w="1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Medium</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Alternative</w:t>
            </w:r>
          </w:p>
        </w:tc>
      </w:tr>
    </w:tbl>
    <w:p>
      <w:r>
        <w:t xml:space="preserve"/>
      </w:r>
    </w:p>
    <w:p>
      <w:pPr>
        <w:pStyle w:val="Heading2"/>
        <w:spacing w:after="140" w:before="300"/>
      </w:pPr>
      <w:r>
        <w:rPr>
          <w:rFonts w:ascii="Arial" w:cs="Arial" w:eastAsia="Arial" w:hAnsi="Arial"/>
          <w:b/>
          <w:bCs/>
          <w:color w:val="1A3C6E"/>
          <w:sz w:val="28"/>
          <w:szCs w:val="28"/>
        </w:rPr>
        <w:t xml:space="preserve">2.2 Recommended Platform: BNB Smart Chain (BSC)</w:t>
      </w:r>
    </w:p>
    <w:p>
      <w:pPr>
        <w:spacing w:after="80" w:before="80"/>
        <w:jc w:val="both"/>
      </w:pPr>
      <w:r>
        <w:rPr>
          <w:rFonts w:ascii="Arial" w:cs="Arial" w:eastAsia="Arial" w:hAnsi="Arial"/>
          <w:b w:val="false"/>
          <w:bCs w:val="false"/>
          <w:i w:val="false"/>
          <w:iCs w:val="false"/>
          <w:color w:val="4A4A4A"/>
          <w:sz w:val="22"/>
          <w:szCs w:val="22"/>
        </w:rPr>
        <w:t xml:space="preserve">HHD Coin will launch natively on BNB Smart Chain (BSC) as a BEP-20 token with full ERC-20 compatibility via cross-chain bridge. Rationale:</w:t>
      </w:r>
    </w:p>
    <w:p>
      <w:pPr>
        <w:pStyle w:val="ListParagraph"/>
        <w:numPr>
          <w:ilvl w:val="0"/>
          <w:numId w:val="2"/>
        </w:numPr>
        <w:spacing w:after="60" w:before="60"/>
      </w:pPr>
      <w:r>
        <w:rPr>
          <w:rFonts w:ascii="Arial" w:cs="Arial" w:eastAsia="Arial" w:hAnsi="Arial"/>
          <w:color w:val="4A4A4A"/>
          <w:sz w:val="22"/>
          <w:szCs w:val="22"/>
        </w:rPr>
        <w:t xml:space="preserve">Ultra-low transaction fees (&lt; $0.01 per transaction) — critical for micro-transactions in education and research contexts.</w:t>
      </w:r>
    </w:p>
    <w:p>
      <w:pPr>
        <w:pStyle w:val="ListParagraph"/>
        <w:numPr>
          <w:ilvl w:val="0"/>
          <w:numId w:val="2"/>
        </w:numPr>
        <w:spacing w:after="60" w:before="60"/>
      </w:pPr>
      <w:r>
        <w:rPr>
          <w:rFonts w:ascii="Arial" w:cs="Arial" w:eastAsia="Arial" w:hAnsi="Arial"/>
          <w:color w:val="4A4A4A"/>
          <w:sz w:val="22"/>
          <w:szCs w:val="22"/>
        </w:rPr>
        <w:t xml:space="preserve">EVM compatibility — enables seamless integration with Ethereum tools, wallets (MetaMask), and DeFi protocols.</w:t>
      </w:r>
    </w:p>
    <w:p>
      <w:pPr>
        <w:pStyle w:val="ListParagraph"/>
        <w:numPr>
          <w:ilvl w:val="0"/>
          <w:numId w:val="2"/>
        </w:numPr>
        <w:spacing w:after="60" w:before="60"/>
      </w:pPr>
      <w:r>
        <w:rPr>
          <w:rFonts w:ascii="Arial" w:cs="Arial" w:eastAsia="Arial" w:hAnsi="Arial"/>
          <w:color w:val="4A4A4A"/>
          <w:sz w:val="22"/>
          <w:szCs w:val="22"/>
        </w:rPr>
        <w:t xml:space="preserve">Binance ecosystem — natural pathway toward Binance Exchange listing through Binance Labs and BNB Chain grants.</w:t>
      </w:r>
    </w:p>
    <w:p>
      <w:pPr>
        <w:pStyle w:val="ListParagraph"/>
        <w:numPr>
          <w:ilvl w:val="0"/>
          <w:numId w:val="2"/>
        </w:numPr>
        <w:spacing w:after="60" w:before="60"/>
      </w:pPr>
      <w:r>
        <w:rPr>
          <w:rFonts w:ascii="Arial" w:cs="Arial" w:eastAsia="Arial" w:hAnsi="Arial"/>
          <w:color w:val="4A4A4A"/>
          <w:sz w:val="22"/>
          <w:szCs w:val="22"/>
        </w:rPr>
        <w:t xml:space="preserve">PancakeSwap liquidity — immediate access to the largest DEX by volume on BSC for initial liquidity provision.</w:t>
      </w:r>
    </w:p>
    <w:p>
      <w:pPr>
        <w:pStyle w:val="ListParagraph"/>
        <w:numPr>
          <w:ilvl w:val="0"/>
          <w:numId w:val="2"/>
        </w:numPr>
        <w:spacing w:after="60" w:before="60"/>
      </w:pPr>
      <w:r>
        <w:rPr>
          <w:rFonts w:ascii="Arial" w:cs="Arial" w:eastAsia="Arial" w:hAnsi="Arial"/>
          <w:color w:val="4A4A4A"/>
          <w:sz w:val="22"/>
          <w:szCs w:val="22"/>
        </w:rPr>
        <w:t xml:space="preserve">Institutional recognition — BSC projects are well-understood by VCs, exchanges, and institutional investors.</w:t>
      </w:r>
    </w:p>
    <w:p>
      <w:pPr>
        <w:pStyle w:val="ListParagraph"/>
        <w:numPr>
          <w:ilvl w:val="0"/>
          <w:numId w:val="2"/>
        </w:numPr>
        <w:spacing w:after="60" w:before="60"/>
      </w:pPr>
      <w:r>
        <w:rPr>
          <w:rFonts w:ascii="Arial" w:cs="Arial" w:eastAsia="Arial" w:hAnsi="Arial"/>
          <w:color w:val="4A4A4A"/>
          <w:sz w:val="22"/>
          <w:szCs w:val="22"/>
        </w:rPr>
        <w:t xml:space="preserve">3,000+ TPS and 3-second block time — adequate for all planned HHD use cases.</w:t>
      </w:r>
    </w:p>
    <w:p>
      <w:pPr>
        <w:pStyle w:val="ListParagraph"/>
        <w:numPr>
          <w:ilvl w:val="0"/>
          <w:numId w:val="2"/>
        </w:numPr>
        <w:spacing w:after="60" w:before="60"/>
      </w:pPr>
      <w:r>
        <w:rPr>
          <w:rFonts w:ascii="Arial" w:cs="Arial" w:eastAsia="Arial" w:hAnsi="Arial"/>
          <w:color w:val="4A4A4A"/>
          <w:sz w:val="22"/>
          <w:szCs w:val="22"/>
        </w:rPr>
        <w:t xml:space="preserve">Cross-chain bridge to Ethereum — HHD will deploy a Wrapped HHD (wHHD) on Ethereum for access to larger DeFi ecosystem.</w:t>
      </w:r>
    </w:p>
    <w:p>
      <w:pPr>
        <w:pStyle w:val="Heading2"/>
        <w:spacing w:after="140" w:before="300"/>
      </w:pPr>
      <w:r>
        <w:rPr>
          <w:rFonts w:ascii="Arial" w:cs="Arial" w:eastAsia="Arial" w:hAnsi="Arial"/>
          <w:b/>
          <w:bCs/>
          <w:color w:val="1A3C6E"/>
          <w:sz w:val="28"/>
          <w:szCs w:val="28"/>
        </w:rPr>
        <w:t xml:space="preserve">2.3 Technical Architecture</w:t>
      </w:r>
    </w:p>
    <w:p>
      <w:pPr>
        <w:pStyle w:val="Heading3"/>
        <w:spacing w:after="100" w:before="200"/>
      </w:pPr>
      <w:r>
        <w:rPr>
          <w:rFonts w:ascii="Arial" w:cs="Arial" w:eastAsia="Arial" w:hAnsi="Arial"/>
          <w:b/>
          <w:bCs/>
          <w:color w:val="2E6DB4"/>
          <w:sz w:val="24"/>
          <w:szCs w:val="24"/>
        </w:rPr>
        <w:t xml:space="preserve">Layer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60"/>
      </w:tblGrid>
      <w:tr>
        <w:trPr>
          <w:tblHeader/>
        </w:trPr>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Layer 0</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Infrastructure</w:t>
            </w:r>
          </w:p>
        </w:tc>
        <w:tc>
          <w:tcPr>
            <w:tcW w:type="dxa" w:w="5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BNB Smart Chain, IPFS, Chainlink Oracle</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Layer 1</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Core Protocol</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BEP-20 Smart Contracts (OpenZeppelin)</w:t>
            </w:r>
          </w:p>
        </w:tc>
      </w:tr>
      <w:tr>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Layer 2</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DeFi Layer</w:t>
            </w:r>
          </w:p>
        </w:tc>
        <w:tc>
          <w:tcPr>
            <w:tcW w:type="dxa" w:w="5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PancakeSwap LP, Staking Contract, Farm Contract</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Layer 3</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Application Layer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EdTech dApp, Research DAO, Credential NFT</w:t>
            </w:r>
          </w:p>
        </w:tc>
      </w:tr>
      <w:tr>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Layer 4</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Governance Layer</w:t>
            </w:r>
          </w:p>
        </w:tc>
        <w:tc>
          <w:tcPr>
            <w:tcW w:type="dxa" w:w="5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Governor Contract, Timelock, Multisig</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Layer 5</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Bridge Layer</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BSC-ETH Bridge (wHHD), Cross-chain DEX Routing</w:t>
            </w:r>
          </w:p>
        </w:tc>
      </w:tr>
      <w:tr>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Layer 6</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AI Integration</w:t>
            </w:r>
          </w:p>
        </w:tc>
        <w:tc>
          <w:tcPr>
            <w:tcW w:type="dxa" w:w="5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Off-chain AI Oracle, On-chain Verification</w:t>
            </w:r>
          </w:p>
        </w:tc>
      </w:tr>
    </w:tbl>
    <w:p>
      <w:r>
        <w:t xml:space="preserve"/>
      </w:r>
    </w:p>
    <w:p>
      <w:pPr>
        <w:pStyle w:val="Heading2"/>
        <w:spacing w:after="140" w:before="300"/>
      </w:pPr>
      <w:r>
        <w:rPr>
          <w:rFonts w:ascii="Arial" w:cs="Arial" w:eastAsia="Arial" w:hAnsi="Arial"/>
          <w:b/>
          <w:bCs/>
          <w:color w:val="1A3C6E"/>
          <w:sz w:val="28"/>
          <w:szCs w:val="28"/>
        </w:rPr>
        <w:t xml:space="preserve">2.4 Smart Contract Architecture</w:t>
      </w:r>
    </w:p>
    <w:p>
      <w:pPr>
        <w:pStyle w:val="Heading3"/>
        <w:spacing w:after="100" w:before="200"/>
      </w:pPr>
      <w:r>
        <w:rPr>
          <w:rFonts w:ascii="Arial" w:cs="Arial" w:eastAsia="Arial" w:hAnsi="Arial"/>
          <w:b/>
          <w:bCs/>
          <w:color w:val="2E6DB4"/>
          <w:sz w:val="24"/>
          <w:szCs w:val="24"/>
        </w:rPr>
        <w:t xml:space="preserve">Contract Suite</w:t>
      </w:r>
    </w:p>
    <w:p>
      <w:pPr>
        <w:pStyle w:val="ListParagraph"/>
        <w:numPr>
          <w:ilvl w:val="0"/>
          <w:numId w:val="2"/>
        </w:numPr>
        <w:spacing w:after="60" w:before="60"/>
      </w:pPr>
      <w:r>
        <w:rPr>
          <w:rFonts w:ascii="Arial" w:cs="Arial" w:eastAsia="Arial" w:hAnsi="Arial"/>
          <w:color w:val="4A4A4A"/>
          <w:sz w:val="22"/>
          <w:szCs w:val="22"/>
        </w:rPr>
        <w:t xml:space="preserve">HHDToken.sol — Core BEP-20 token with burn, pause, anti-whale functions</w:t>
      </w:r>
    </w:p>
    <w:p>
      <w:pPr>
        <w:pStyle w:val="ListParagraph"/>
        <w:numPr>
          <w:ilvl w:val="0"/>
          <w:numId w:val="2"/>
        </w:numPr>
        <w:spacing w:after="60" w:before="60"/>
      </w:pPr>
      <w:r>
        <w:rPr>
          <w:rFonts w:ascii="Arial" w:cs="Arial" w:eastAsia="Arial" w:hAnsi="Arial"/>
          <w:color w:val="4A4A4A"/>
          <w:sz w:val="22"/>
          <w:szCs w:val="22"/>
        </w:rPr>
        <w:t xml:space="preserve">HHDStaking.sol — Flexible staking with tiered APY and lockup periods</w:t>
      </w:r>
    </w:p>
    <w:p>
      <w:pPr>
        <w:pStyle w:val="ListParagraph"/>
        <w:numPr>
          <w:ilvl w:val="0"/>
          <w:numId w:val="2"/>
        </w:numPr>
        <w:spacing w:after="60" w:before="60"/>
      </w:pPr>
      <w:r>
        <w:rPr>
          <w:rFonts w:ascii="Arial" w:cs="Arial" w:eastAsia="Arial" w:hAnsi="Arial"/>
          <w:color w:val="4A4A4A"/>
          <w:sz w:val="22"/>
          <w:szCs w:val="22"/>
        </w:rPr>
        <w:t xml:space="preserve">HHDGovernance.sol — OpenZeppelin Governor with Timelock (48h execution delay)</w:t>
      </w:r>
    </w:p>
    <w:p>
      <w:pPr>
        <w:pStyle w:val="ListParagraph"/>
        <w:numPr>
          <w:ilvl w:val="0"/>
          <w:numId w:val="2"/>
        </w:numPr>
        <w:spacing w:after="60" w:before="60"/>
      </w:pPr>
      <w:r>
        <w:rPr>
          <w:rFonts w:ascii="Arial" w:cs="Arial" w:eastAsia="Arial" w:hAnsi="Arial"/>
          <w:color w:val="4A4A4A"/>
          <w:sz w:val="22"/>
          <w:szCs w:val="22"/>
        </w:rPr>
        <w:t xml:space="preserve">HHDTreasury.sol — Multisig treasury (5/9 signers) for fund management</w:t>
      </w:r>
    </w:p>
    <w:p>
      <w:pPr>
        <w:pStyle w:val="ListParagraph"/>
        <w:numPr>
          <w:ilvl w:val="0"/>
          <w:numId w:val="2"/>
        </w:numPr>
        <w:spacing w:after="60" w:before="60"/>
      </w:pPr>
      <w:r>
        <w:rPr>
          <w:rFonts w:ascii="Arial" w:cs="Arial" w:eastAsia="Arial" w:hAnsi="Arial"/>
          <w:color w:val="4A4A4A"/>
          <w:sz w:val="22"/>
          <w:szCs w:val="22"/>
        </w:rPr>
        <w:t xml:space="preserve">HHDVesting.sol — Token release schedule enforcement for team/advisors</w:t>
      </w:r>
    </w:p>
    <w:p>
      <w:pPr>
        <w:pStyle w:val="ListParagraph"/>
        <w:numPr>
          <w:ilvl w:val="0"/>
          <w:numId w:val="2"/>
        </w:numPr>
        <w:spacing w:after="60" w:before="60"/>
      </w:pPr>
      <w:r>
        <w:rPr>
          <w:rFonts w:ascii="Arial" w:cs="Arial" w:eastAsia="Arial" w:hAnsi="Arial"/>
          <w:color w:val="4A4A4A"/>
          <w:sz w:val="22"/>
          <w:szCs w:val="22"/>
        </w:rPr>
        <w:t xml:space="preserve">HHDCredential.sol — ERC-721 NFT contract for academic credentials</w:t>
      </w:r>
    </w:p>
    <w:p>
      <w:pPr>
        <w:pStyle w:val="ListParagraph"/>
        <w:numPr>
          <w:ilvl w:val="0"/>
          <w:numId w:val="2"/>
        </w:numPr>
        <w:spacing w:after="60" w:before="60"/>
      </w:pPr>
      <w:r>
        <w:rPr>
          <w:rFonts w:ascii="Arial" w:cs="Arial" w:eastAsia="Arial" w:hAnsi="Arial"/>
          <w:color w:val="4A4A4A"/>
          <w:sz w:val="22"/>
          <w:szCs w:val="22"/>
        </w:rPr>
        <w:t xml:space="preserve">HHDLaunchpad.sol — IDO launchpad for HHD ecosystem projects</w:t>
      </w:r>
    </w:p>
    <w:p>
      <w:pPr>
        <w:pStyle w:val="ListParagraph"/>
        <w:numPr>
          <w:ilvl w:val="0"/>
          <w:numId w:val="2"/>
        </w:numPr>
        <w:spacing w:after="60" w:before="60"/>
      </w:pPr>
      <w:r>
        <w:rPr>
          <w:rFonts w:ascii="Arial" w:cs="Arial" w:eastAsia="Arial" w:hAnsi="Arial"/>
          <w:color w:val="4A4A4A"/>
          <w:sz w:val="22"/>
          <w:szCs w:val="22"/>
        </w:rPr>
        <w:t xml:space="preserve">HHDBridge.sol — BSC-Ethereum cross-chain bridge (LayerZero integration)</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III: TOKENOMICS</w:t>
      </w:r>
    </w:p>
    <w:p>
      <w:pPr>
        <w:pStyle w:val="Heading2"/>
        <w:spacing w:after="140" w:before="300"/>
      </w:pPr>
      <w:r>
        <w:rPr>
          <w:rFonts w:ascii="Arial" w:cs="Arial" w:eastAsia="Arial" w:hAnsi="Arial"/>
          <w:b/>
          <w:bCs/>
          <w:color w:val="1A3C6E"/>
          <w:sz w:val="28"/>
          <w:szCs w:val="28"/>
        </w:rPr>
        <w:t xml:space="preserve">3.1 Token Supply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Total Maximum Supply</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1,000,000,000 HHD</w:t>
            </w:r>
          </w:p>
        </w:tc>
        <w:tc>
          <w:tcPr>
            <w:tcW w:type="dxa" w:w="3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Hard cap — cannot be increased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Initial Circulating Supply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100,000,000 HHD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 of total supply at TGE</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TGE Unlock (Public Sale)</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20% of Public Sale allocation</w:t>
            </w:r>
          </w:p>
        </w:tc>
        <w:tc>
          <w:tcPr>
            <w:tcW w:type="dxa" w:w="3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Unlocked at Token Generation Event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Public Sale Hard Cap</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$25,000,000 USD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At $0.020 per HHD</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Public Sale Soft Cap</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$3,000,000 USD</w:t>
            </w:r>
          </w:p>
        </w:tc>
        <w:tc>
          <w:tcPr>
            <w:tcW w:type="dxa" w:w="3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Minimum for project launch</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Target FDV at Launch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$20,000,000 USD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At $0.02 public price x 1B</w:t>
            </w:r>
          </w:p>
        </w:tc>
      </w:tr>
      <w:tr>
        <w:tc>
          <w:tcPr>
            <w:tcW w:type="dxa" w:w="3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Deflationary Burn Target</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Up to 20% of total supply</w:t>
            </w:r>
          </w:p>
        </w:tc>
        <w:tc>
          <w:tcPr>
            <w:tcW w:type="dxa" w:w="3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200M HHD burned over 10 years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Post-Burn Max Supply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800,000,000 HHD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After all burns executed</w:t>
            </w:r>
          </w:p>
        </w:tc>
      </w:tr>
    </w:tbl>
    <w:p>
      <w:r>
        <w:t xml:space="preserve"/>
      </w:r>
    </w:p>
    <w:p>
      <w:pPr>
        <w:pStyle w:val="Heading2"/>
        <w:spacing w:after="140" w:before="300"/>
      </w:pPr>
      <w:r>
        <w:rPr>
          <w:rFonts w:ascii="Arial" w:cs="Arial" w:eastAsia="Arial" w:hAnsi="Arial"/>
          <w:b/>
          <w:bCs/>
          <w:color w:val="1A3C6E"/>
          <w:sz w:val="28"/>
          <w:szCs w:val="28"/>
        </w:rPr>
        <w:t xml:space="preserve">3.2 Token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700"/>
        <w:gridCol w:w="1200"/>
        <w:gridCol w:w="1700"/>
        <w:gridCol w:w="13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Allocation (%)</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HHD Amount</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TGE Unlock</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Vesting Schedule</w:t>
            </w:r>
          </w:p>
        </w:tc>
        <w:tc>
          <w:tcPr>
            <w:tcW w:type="dxa" w:w="1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Community &amp; Ecosystem</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30%</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300,000,000</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5%</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48 months linear</w:t>
            </w:r>
          </w:p>
        </w:tc>
        <w:tc>
          <w:tcPr>
            <w:tcW w:type="dxa" w:w="1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Rewards, grants, dApp incentives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Staking Rewards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15%</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150,000,000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Released per epoch</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Liquidity mining, staking APY</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Treasury</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15%</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150,000,000</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Locked 6m, 4yr linear</w:t>
            </w:r>
          </w:p>
        </w:tc>
        <w:tc>
          <w:tcPr>
            <w:tcW w:type="dxa" w:w="1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Operations, grants, reserves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Team &amp; Founders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120,000,000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12m cliff, 36m linear</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Core development team</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Public Sale (IEO)</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10%</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100,000,000</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20%</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6 months linear</w:t>
            </w:r>
          </w:p>
        </w:tc>
        <w:tc>
          <w:tcPr>
            <w:tcW w:type="dxa" w:w="1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Public fundraise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Private Sale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80,000,000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3m cliff, 9m linear</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Strategic investors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Seed Round</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5%</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50,000,000</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5%</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6m cliff, 18m linear</w:t>
            </w:r>
          </w:p>
        </w:tc>
        <w:tc>
          <w:tcPr>
            <w:tcW w:type="dxa" w:w="1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Early backers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Marketing &amp; Growth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50,000,000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24 months linear</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Exchange marketing, PR</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Advisors</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3%</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30,000,000</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6m cliff, 24m linear</w:t>
            </w:r>
          </w:p>
        </w:tc>
        <w:tc>
          <w:tcPr>
            <w:tcW w:type="dxa" w:w="1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Strategic advisors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Liquidity Provision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40,000,000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Locked in LP 12m</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DEX/CEX initial liquidity</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Airdrop &amp; Bounty</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3%</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30,000,000</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20%</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12 months linear</w:t>
            </w:r>
          </w:p>
        </w:tc>
        <w:tc>
          <w:tcPr>
            <w:tcW w:type="dxa" w:w="1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Community building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1,000,000,000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
            </w:r>
          </w:p>
        </w:tc>
      </w:tr>
    </w:tbl>
    <w:p>
      <w:r>
        <w:t xml:space="preserve"/>
      </w:r>
    </w:p>
    <w:p>
      <w:pPr>
        <w:jc w:val="center"/>
      </w:pPr>
      <w:r>
        <w:drawing>
          <wp:inline distT="0" distB="0" distL="0" distR="0">
            <wp:extent cx="5524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81425"/>
                    </a:xfrm>
                    <a:prstGeom prst="rect">
                      <a:avLst/>
                    </a:prstGeom>
                  </pic:spPr>
                </pic:pic>
              </a:graphicData>
            </a:graphic>
          </wp:inline>
        </w:drawing>
      </w:r>
    </w:p>
    <w:p>
      <w:pPr>
        <w:spacing w:after="80" w:before="80"/>
        <w:jc w:val="center"/>
      </w:pPr>
      <w:r>
        <w:rPr>
          <w:rFonts w:ascii="Arial" w:cs="Arial" w:eastAsia="Arial" w:hAnsi="Arial"/>
          <w:b w:val="false"/>
          <w:bCs w:val="false"/>
          <w:i/>
          <w:iCs/>
          <w:color w:val="4A4A4A"/>
          <w:sz w:val="18"/>
          <w:szCs w:val="18"/>
        </w:rPr>
        <w:t xml:space="preserve">Figure 3.1 — Visual breakdown of HHD total supply allocation across all 11 categories.</w:t>
      </w:r>
    </w:p>
    <w:p>
      <w:r>
        <w:t xml:space="preserve"/>
      </w:r>
    </w:p>
    <w:p>
      <w:pPr>
        <w:pStyle w:val="Heading2"/>
        <w:spacing w:after="140" w:before="300"/>
      </w:pPr>
      <w:r>
        <w:rPr>
          <w:rFonts w:ascii="Arial" w:cs="Arial" w:eastAsia="Arial" w:hAnsi="Arial"/>
          <w:b/>
          <w:bCs/>
          <w:color w:val="1A3C6E"/>
          <w:sz w:val="28"/>
          <w:szCs w:val="28"/>
        </w:rPr>
        <w:t xml:space="preserve">3.3 Vesting Schedule Detail</w:t>
      </w:r>
    </w:p>
    <w:tbl>
      <w:tblPr>
        <w:tblW w:type="dxa" w:w="106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700"/>
        <w:gridCol w:w="1600"/>
        <w:gridCol w:w="1300"/>
        <w:gridCol w:w="1960"/>
        <w:gridCol w:w="110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Round</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Tokens</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Raise (USD)</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Cliff</w:t>
            </w:r>
          </w:p>
        </w:tc>
        <w:tc>
          <w:tcPr>
            <w:tcW w:type="dxa" w:w="1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Vesting</w:t>
            </w:r>
          </w:p>
        </w:tc>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TGE %</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Seed Round</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$0.005</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50,000,000</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$250,000</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6 months</w:t>
            </w:r>
          </w:p>
        </w:tc>
        <w:tc>
          <w:tcPr>
            <w:tcW w:type="dxa" w:w="1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18 months linear</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Private Sale 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$0.008</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40,000,000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$320,000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3 months</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9 months linear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10%</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Private Sale B</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$0.010</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40,000,000</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$400,000</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 months</w:t>
            </w:r>
          </w:p>
        </w:tc>
        <w:tc>
          <w:tcPr>
            <w:tcW w:type="dxa" w:w="1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9 months linear</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10%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Public Sale (IEO)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$0.020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100,000,000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$2,000,000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6 months linear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20%</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Binance Launchpad*</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$0.025</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25,000,000</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$625,000</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None</w:t>
            </w:r>
          </w:p>
        </w:tc>
        <w:tc>
          <w:tcPr>
            <w:tcW w:type="dxa" w:w="1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 months linear</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30%</w:t>
            </w:r>
          </w:p>
        </w:tc>
      </w:tr>
    </w:tbl>
    <w:p>
      <w:pPr>
        <w:spacing w:after="80" w:before="80"/>
        <w:jc w:val="both"/>
      </w:pPr>
      <w:r>
        <w:rPr>
          <w:rFonts w:ascii="Arial" w:cs="Arial" w:eastAsia="Arial" w:hAnsi="Arial"/>
          <w:b w:val="false"/>
          <w:bCs w:val="false"/>
          <w:i/>
          <w:iCs/>
          <w:color w:val="4A4A4A"/>
          <w:sz w:val="22"/>
          <w:szCs w:val="22"/>
        </w:rPr>
        <w:t xml:space="preserve">* Binance Launchpad allocation contingent on successful listing milestone (Target: 2028)</w:t>
      </w:r>
    </w:p>
    <w:p>
      <w:r>
        <w:t xml:space="preserve"/>
      </w:r>
    </w:p>
    <w:p>
      <w:pPr>
        <w:pStyle w:val="Heading2"/>
        <w:spacing w:after="140" w:before="300"/>
      </w:pPr>
      <w:r>
        <w:rPr>
          <w:rFonts w:ascii="Arial" w:cs="Arial" w:eastAsia="Arial" w:hAnsi="Arial"/>
          <w:b/>
          <w:bCs/>
          <w:color w:val="1A3C6E"/>
          <w:sz w:val="28"/>
          <w:szCs w:val="28"/>
        </w:rPr>
        <w:t xml:space="preserve">3.4 Token Utility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Token Flow</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Platform Payments</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Pay for courses, certifications, research tools</w:t>
            </w:r>
          </w:p>
        </w:tc>
        <w:tc>
          <w:tcPr>
            <w:tcW w:type="dxa" w:w="3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Burn 2% per tx</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Staking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Lock HHD for 30/90/180/365 days for APY rewards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Mint from Staking pool</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Governance</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Vote on protocol upgrades, grant allocations, burns</w:t>
            </w:r>
          </w:p>
        </w:tc>
        <w:tc>
          <w:tcPr>
            <w:tcW w:type="dxa" w:w="3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 HHD = 1 vote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Research Grants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Apply for and receive DAO-governed research funding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Treasury outflow</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NFT Credentials</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Mint verifiable academic NFT certificates</w:t>
            </w:r>
          </w:p>
        </w:tc>
        <w:tc>
          <w:tcPr>
            <w:tcW w:type="dxa" w:w="3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Burn 10 HHD per NFT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DEX Liquidity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Provide HHD/BNB or HHD/USDT liquidity on PancakeSwap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LP rewards in HHD</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DAO Membership</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Access Research DAO with minimum 1,000 HHD stake</w:t>
            </w:r>
          </w:p>
        </w:tc>
        <w:tc>
          <w:tcPr>
            <w:tcW w:type="dxa" w:w="3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Staked, not burned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AI Services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Pay for HHDAI platform services and API access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Burn 1% per tx</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Launchpad Access</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Participate in HHD ecosystem project IDOs</w:t>
            </w:r>
          </w:p>
        </w:tc>
        <w:tc>
          <w:tcPr>
            <w:tcW w:type="dxa" w:w="3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Tiered staking required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Referral Rewards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Earn HHD for referring educators and researchers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Marketing pool</w:t>
            </w:r>
          </w:p>
        </w:tc>
      </w:tr>
    </w:tbl>
    <w:p>
      <w:r>
        <w:t xml:space="preserve"/>
      </w:r>
    </w:p>
    <w:p>
      <w:pPr>
        <w:pStyle w:val="Heading2"/>
        <w:spacing w:after="140" w:before="300"/>
      </w:pPr>
      <w:r>
        <w:rPr>
          <w:rFonts w:ascii="Arial" w:cs="Arial" w:eastAsia="Arial" w:hAnsi="Arial"/>
          <w:b/>
          <w:bCs/>
          <w:color w:val="1A3C6E"/>
          <w:sz w:val="28"/>
          <w:szCs w:val="28"/>
        </w:rPr>
        <w:t xml:space="preserve">3.5 Token Burning Mechanism</w:t>
      </w:r>
    </w:p>
    <w:p>
      <w:pPr>
        <w:spacing w:after="80" w:before="80"/>
        <w:jc w:val="both"/>
      </w:pPr>
      <w:r>
        <w:rPr>
          <w:rFonts w:ascii="Arial" w:cs="Arial" w:eastAsia="Arial" w:hAnsi="Arial"/>
          <w:b w:val="false"/>
          <w:bCs w:val="false"/>
          <w:i w:val="false"/>
          <w:iCs w:val="false"/>
          <w:color w:val="4A4A4A"/>
          <w:sz w:val="22"/>
          <w:szCs w:val="22"/>
        </w:rPr>
        <w:t xml:space="preserve">HHD implements a multi-source deflationary burn mechanism:</w:t>
      </w:r>
    </w:p>
    <w:p>
      <w:pPr>
        <w:pStyle w:val="ListParagraph"/>
        <w:numPr>
          <w:ilvl w:val="0"/>
          <w:numId w:val="2"/>
        </w:numPr>
        <w:spacing w:after="60" w:before="60"/>
      </w:pPr>
      <w:r>
        <w:rPr>
          <w:rFonts w:ascii="Arial" w:cs="Arial" w:eastAsia="Arial" w:hAnsi="Arial"/>
          <w:color w:val="4A4A4A"/>
          <w:sz w:val="22"/>
          <w:szCs w:val="22"/>
        </w:rPr>
        <w:t xml:space="preserve">Transaction Burn: 1% of all on-platform transactions auto-burned (sent to dead address)</w:t>
      </w:r>
    </w:p>
    <w:p>
      <w:pPr>
        <w:pStyle w:val="ListParagraph"/>
        <w:numPr>
          <w:ilvl w:val="0"/>
          <w:numId w:val="2"/>
        </w:numPr>
        <w:spacing w:after="60" w:before="60"/>
      </w:pPr>
      <w:r>
        <w:rPr>
          <w:rFonts w:ascii="Arial" w:cs="Arial" w:eastAsia="Arial" w:hAnsi="Arial"/>
          <w:color w:val="4A4A4A"/>
          <w:sz w:val="22"/>
          <w:szCs w:val="22"/>
        </w:rPr>
        <w:t xml:space="preserve">Buy-back Burn: 20% of all treasury revenue used to buy and burn HHD quarterly</w:t>
      </w:r>
    </w:p>
    <w:p>
      <w:pPr>
        <w:pStyle w:val="ListParagraph"/>
        <w:numPr>
          <w:ilvl w:val="0"/>
          <w:numId w:val="2"/>
        </w:numPr>
        <w:spacing w:after="60" w:before="60"/>
      </w:pPr>
      <w:r>
        <w:rPr>
          <w:rFonts w:ascii="Arial" w:cs="Arial" w:eastAsia="Arial" w:hAnsi="Arial"/>
          <w:color w:val="4A4A4A"/>
          <w:sz w:val="22"/>
          <w:szCs w:val="22"/>
        </w:rPr>
        <w:t xml:space="preserve">NFT Minting Burn: 10 HHD burned per credential NFT minted</w:t>
      </w:r>
    </w:p>
    <w:p>
      <w:pPr>
        <w:pStyle w:val="ListParagraph"/>
        <w:numPr>
          <w:ilvl w:val="0"/>
          <w:numId w:val="2"/>
        </w:numPr>
        <w:spacing w:after="60" w:before="60"/>
      </w:pPr>
      <w:r>
        <w:rPr>
          <w:rFonts w:ascii="Arial" w:cs="Arial" w:eastAsia="Arial" w:hAnsi="Arial"/>
          <w:color w:val="4A4A4A"/>
          <w:sz w:val="22"/>
          <w:szCs w:val="22"/>
        </w:rPr>
        <w:t xml:space="preserve">Governance Burn: Unsuccessful governance proposals burn the 100 HHD submission fee</w:t>
      </w:r>
    </w:p>
    <w:p>
      <w:pPr>
        <w:pStyle w:val="ListParagraph"/>
        <w:numPr>
          <w:ilvl w:val="0"/>
          <w:numId w:val="2"/>
        </w:numPr>
        <w:spacing w:after="60" w:before="60"/>
      </w:pPr>
      <w:r>
        <w:rPr>
          <w:rFonts w:ascii="Arial" w:cs="Arial" w:eastAsia="Arial" w:hAnsi="Arial"/>
          <w:color w:val="4A4A4A"/>
          <w:sz w:val="22"/>
          <w:szCs w:val="22"/>
        </w:rPr>
        <w:t xml:space="preserve">Exchange Listing Burn: Commemorative burns of 1,000,000 HHD at each major exchange listing</w:t>
      </w:r>
    </w:p>
    <w:p>
      <w:pPr>
        <w:spacing w:after="80" w:before="80"/>
        <w:jc w:val="both"/>
      </w:pPr>
      <w:r>
        <w:rPr>
          <w:rFonts w:ascii="Arial" w:cs="Arial" w:eastAsia="Arial" w:hAnsi="Arial"/>
          <w:b w:val="false"/>
          <w:bCs w:val="false"/>
          <w:i w:val="false"/>
          <w:iCs w:val="false"/>
          <w:color w:val="4A4A4A"/>
          <w:sz w:val="22"/>
          <w:szCs w:val="22"/>
        </w:rPr>
        <w:t xml:space="preserve">Projected burn rate reduces circulating supply by approximately 2–5% annually, creating sustained deflationary pressure over the 10-year lifecycle.</w:t>
      </w:r>
    </w:p>
    <w:p>
      <w:r>
        <w:t xml:space="preserve"/>
      </w:r>
    </w:p>
    <w:p>
      <w:pPr>
        <w:jc w:val="center"/>
      </w:pPr>
      <w:r>
        <w:drawing>
          <wp:inline distT="0" distB="0" distL="0" distR="0">
            <wp:extent cx="5524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14600"/>
                    </a:xfrm>
                    <a:prstGeom prst="rect">
                      <a:avLst/>
                    </a:prstGeom>
                  </pic:spPr>
                </pic:pic>
              </a:graphicData>
            </a:graphic>
          </wp:inline>
        </w:drawing>
      </w:r>
    </w:p>
    <w:p>
      <w:pPr>
        <w:spacing w:after="80" w:before="80"/>
        <w:jc w:val="center"/>
      </w:pPr>
      <w:r>
        <w:rPr>
          <w:rFonts w:ascii="Arial" w:cs="Arial" w:eastAsia="Arial" w:hAnsi="Arial"/>
          <w:b w:val="false"/>
          <w:bCs w:val="false"/>
          <w:i/>
          <w:iCs/>
          <w:color w:val="4A4A4A"/>
          <w:sz w:val="18"/>
          <w:szCs w:val="18"/>
        </w:rPr>
        <w:t xml:space="preserve">Figure 3.2 — HHD deflationary burn flow: tokens move from circulating supply to the permanent burn address via two parallel mechanisms.</w:t>
      </w:r>
    </w:p>
    <w:p>
      <w:r>
        <w:t xml:space="preserve"/>
      </w:r>
    </w:p>
    <w:p>
      <w:pPr>
        <w:pStyle w:val="Heading2"/>
        <w:spacing w:after="140" w:before="300"/>
      </w:pPr>
      <w:r>
        <w:rPr>
          <w:rFonts w:ascii="Arial" w:cs="Arial" w:eastAsia="Arial" w:hAnsi="Arial"/>
          <w:b/>
          <w:bCs/>
          <w:color w:val="1A3C6E"/>
          <w:sz w:val="28"/>
          <w:szCs w:val="28"/>
        </w:rPr>
        <w:t xml:space="preserve">3.6 Staking APY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100"/>
        <w:gridCol w:w="1500"/>
        <w:gridCol w:w="426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Lock Period</w:t>
            </w:r>
          </w:p>
        </w:tc>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APY</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 Stake</w:t>
            </w:r>
          </w:p>
        </w:tc>
        <w:tc>
          <w:tcPr>
            <w:tcW w:type="dxa" w:w="4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Additional Benefits</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Bronze</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30 days</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8% APY</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 HHD</w:t>
            </w:r>
          </w:p>
        </w:tc>
        <w:tc>
          <w:tcPr>
            <w:tcW w:type="dxa" w:w="4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Platform discount 5%</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Silver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90 days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15% APY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5,000 HHD</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Governance voting + 10% discount</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Gold</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180 days</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25% APY</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25,000 HHD</w:t>
            </w:r>
          </w:p>
        </w:tc>
        <w:tc>
          <w:tcPr>
            <w:tcW w:type="dxa" w:w="4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DAO membership + Launchpad tier 1</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Platinum</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365 days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40% APY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100,000 HHD</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All benefits + VIP research grants</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Diamond</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365 days</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55% APY</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500,000 HHD</w:t>
            </w:r>
          </w:p>
        </w:tc>
        <w:tc>
          <w:tcPr>
            <w:tcW w:type="dxa" w:w="4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Advisory council seat + all benefits</w:t>
            </w:r>
          </w:p>
        </w:tc>
      </w:tr>
    </w:tbl>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IV: MARKET ANALYSIS</w:t>
      </w:r>
    </w:p>
    <w:p>
      <w:pPr>
        <w:pStyle w:val="Heading2"/>
        <w:spacing w:after="140" w:before="300"/>
      </w:pPr>
      <w:r>
        <w:rPr>
          <w:rFonts w:ascii="Arial" w:cs="Arial" w:eastAsia="Arial" w:hAnsi="Arial"/>
          <w:b/>
          <w:bCs/>
          <w:color w:val="1A3C6E"/>
          <w:sz w:val="28"/>
          <w:szCs w:val="28"/>
        </w:rPr>
        <w:t xml:space="preserve">4.1 Global EdTech &amp; Research Blockchain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700"/>
        <w:gridCol w:w="1200"/>
        <w:gridCol w:w="2660"/>
      </w:tblGrid>
      <w:tr>
        <w:trPr>
          <w:tblHeader/>
        </w:trPr>
        <w:tc>
          <w:tcPr>
            <w:tcW w:type="dxa" w:w="2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Segment</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2024 Size</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2030 Projection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CAGR</w:t>
            </w:r>
          </w:p>
        </w:tc>
        <w:tc>
          <w:tcPr>
            <w:tcW w:type="dxa" w:w="26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Driver</w:t>
            </w:r>
          </w:p>
        </w:tc>
      </w:tr>
      <w:tr>
        <w:tc>
          <w:tcPr>
            <w:tcW w:type="dxa" w:w="2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Global EdTech Market</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$254B</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$605B</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16.5%</w:t>
            </w:r>
          </w:p>
        </w:tc>
        <w:tc>
          <w:tcPr>
            <w:tcW w:type="dxa" w:w="26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Post-COVID digital adoption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Blockchain in Education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$0.6B</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$5.8B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46.3%</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Credential verification, DeFi</w:t>
            </w:r>
          </w:p>
        </w:tc>
      </w:tr>
      <w:tr>
        <w:tc>
          <w:tcPr>
            <w:tcW w:type="dxa" w:w="2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Southeast Asia EdTech</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$8.3B</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$25B</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20.1%</w:t>
            </w:r>
          </w:p>
        </w:tc>
        <w:tc>
          <w:tcPr>
            <w:tcW w:type="dxa" w:w="26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Mobile-first, young demographics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Vietnam EdTech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$3.0B</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$9B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20.0%</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Government digitalization push</w:t>
            </w:r>
          </w:p>
        </w:tc>
      </w:tr>
      <w:tr>
        <w:tc>
          <w:tcPr>
            <w:tcW w:type="dxa" w:w="2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Global Research Tech</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$120B</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$280B</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15.2%</w:t>
            </w:r>
          </w:p>
        </w:tc>
        <w:tc>
          <w:tcPr>
            <w:tcW w:type="dxa" w:w="26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Open science, AI integration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Web3 Education Token Market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$180M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$2.8B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58.0%</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DeFi, Learn-to-Earn models</w:t>
            </w:r>
          </w:p>
        </w:tc>
      </w:tr>
    </w:tbl>
    <w:p>
      <w:r>
        <w:t xml:space="preserve"/>
      </w:r>
    </w:p>
    <w:p>
      <w:pPr>
        <w:pStyle w:val="Heading2"/>
        <w:spacing w:after="140" w:before="300"/>
      </w:pPr>
      <w:r>
        <w:rPr>
          <w:rFonts w:ascii="Arial" w:cs="Arial" w:eastAsia="Arial" w:hAnsi="Arial"/>
          <w:b/>
          <w:bCs/>
          <w:color w:val="1A3C6E"/>
          <w:sz w:val="28"/>
          <w:szCs w:val="28"/>
        </w:rPr>
        <w:t xml:space="preserve">4.2 Vietnam &amp; Southeast Asia Opportunity</w:t>
      </w:r>
    </w:p>
    <w:p>
      <w:pPr>
        <w:spacing w:after="80" w:before="80"/>
        <w:jc w:val="both"/>
      </w:pPr>
      <w:r>
        <w:rPr>
          <w:rFonts w:ascii="Arial" w:cs="Arial" w:eastAsia="Arial" w:hAnsi="Arial"/>
          <w:b w:val="false"/>
          <w:bCs w:val="false"/>
          <w:i w:val="false"/>
          <w:iCs w:val="false"/>
          <w:color w:val="4A4A4A"/>
          <w:sz w:val="22"/>
          <w:szCs w:val="22"/>
        </w:rPr>
        <w:t xml:space="preserve">Vietnam presents exceptional market conditions for HHD Coin adoption:</w:t>
      </w:r>
    </w:p>
    <w:p>
      <w:pPr>
        <w:pStyle w:val="ListParagraph"/>
        <w:numPr>
          <w:ilvl w:val="0"/>
          <w:numId w:val="2"/>
        </w:numPr>
        <w:spacing w:after="60" w:before="60"/>
      </w:pPr>
      <w:r>
        <w:rPr>
          <w:rFonts w:ascii="Arial" w:cs="Arial" w:eastAsia="Arial" w:hAnsi="Arial"/>
          <w:color w:val="4A4A4A"/>
          <w:sz w:val="22"/>
          <w:szCs w:val="22"/>
        </w:rPr>
        <w:t xml:space="preserve">Population: 100+ million, with median age of 31 — highly digitally-native workforce</w:t>
      </w:r>
    </w:p>
    <w:p>
      <w:pPr>
        <w:pStyle w:val="ListParagraph"/>
        <w:numPr>
          <w:ilvl w:val="0"/>
          <w:numId w:val="2"/>
        </w:numPr>
        <w:spacing w:after="60" w:before="60"/>
      </w:pPr>
      <w:r>
        <w:rPr>
          <w:rFonts w:ascii="Arial" w:cs="Arial" w:eastAsia="Arial" w:hAnsi="Arial"/>
          <w:color w:val="4A4A4A"/>
          <w:sz w:val="22"/>
          <w:szCs w:val="22"/>
        </w:rPr>
        <w:t xml:space="preserve">Crypto adoption: Vietnam ranked #1 globally in Chainalysis Crypto Adoption Index 2023</w:t>
      </w:r>
    </w:p>
    <w:p>
      <w:pPr>
        <w:pStyle w:val="ListParagraph"/>
        <w:numPr>
          <w:ilvl w:val="0"/>
          <w:numId w:val="2"/>
        </w:numPr>
        <w:spacing w:after="60" w:before="60"/>
      </w:pPr>
      <w:r>
        <w:rPr>
          <w:rFonts w:ascii="Arial" w:cs="Arial" w:eastAsia="Arial" w:hAnsi="Arial"/>
          <w:color w:val="4A4A4A"/>
          <w:sz w:val="22"/>
          <w:szCs w:val="22"/>
        </w:rPr>
        <w:t xml:space="preserve">Education spending: Vietnamese families spend 12–15% of household income on education</w:t>
      </w:r>
    </w:p>
    <w:p>
      <w:pPr>
        <w:pStyle w:val="ListParagraph"/>
        <w:numPr>
          <w:ilvl w:val="0"/>
          <w:numId w:val="2"/>
        </w:numPr>
        <w:spacing w:after="60" w:before="60"/>
      </w:pPr>
      <w:r>
        <w:rPr>
          <w:rFonts w:ascii="Arial" w:cs="Arial" w:eastAsia="Arial" w:hAnsi="Arial"/>
          <w:color w:val="4A4A4A"/>
          <w:sz w:val="22"/>
          <w:szCs w:val="22"/>
        </w:rPr>
        <w:t xml:space="preserve">Research ecosystem: 171 universities, 1,200+ research institutes, growing R&amp;D investment</w:t>
      </w:r>
    </w:p>
    <w:p>
      <w:pPr>
        <w:pStyle w:val="ListParagraph"/>
        <w:numPr>
          <w:ilvl w:val="0"/>
          <w:numId w:val="2"/>
        </w:numPr>
        <w:spacing w:after="60" w:before="60"/>
      </w:pPr>
      <w:r>
        <w:rPr>
          <w:rFonts w:ascii="Arial" w:cs="Arial" w:eastAsia="Arial" w:hAnsi="Arial"/>
          <w:color w:val="4A4A4A"/>
          <w:sz w:val="22"/>
          <w:szCs w:val="22"/>
        </w:rPr>
        <w:t xml:space="preserve">Digital transformation: Government's National Digital Transformation Program 2025–2030 allocates $7B+</w:t>
      </w:r>
    </w:p>
    <w:p>
      <w:pPr>
        <w:pStyle w:val="ListParagraph"/>
        <w:numPr>
          <w:ilvl w:val="0"/>
          <w:numId w:val="2"/>
        </w:numPr>
        <w:spacing w:after="60" w:before="60"/>
      </w:pPr>
      <w:r>
        <w:rPr>
          <w:rFonts w:ascii="Arial" w:cs="Arial" w:eastAsia="Arial" w:hAnsi="Arial"/>
          <w:color w:val="4A4A4A"/>
          <w:sz w:val="22"/>
          <w:szCs w:val="22"/>
        </w:rPr>
        <w:t xml:space="preserve">Remittance economy: $19B+ annual remittances — crypto-native cross-border payment opportunity</w:t>
      </w:r>
    </w:p>
    <w:p>
      <w:pPr>
        <w:spacing w:after="80" w:before="80"/>
        <w:jc w:val="both"/>
      </w:pPr>
      <w:r>
        <w:rPr>
          <w:rFonts w:ascii="Arial" w:cs="Arial" w:eastAsia="Arial" w:hAnsi="Arial"/>
          <w:b w:val="false"/>
          <w:bCs w:val="false"/>
          <w:i w:val="false"/>
          <w:iCs w:val="false"/>
          <w:color w:val="4A4A4A"/>
          <w:sz w:val="22"/>
          <w:szCs w:val="22"/>
        </w:rPr>
        <w:t xml:space="preserve">Southeast Asia (660M population, 6 nations) shares similar characteristics: young, mobile-first, high crypto affinity, rapidly expanding middle class with education demand.</w:t>
      </w:r>
    </w:p>
    <w:p>
      <w:pPr>
        <w:pStyle w:val="Heading2"/>
        <w:spacing w:after="140" w:before="300"/>
      </w:pPr>
      <w:r>
        <w:rPr>
          <w:rFonts w:ascii="Arial" w:cs="Arial" w:eastAsia="Arial" w:hAnsi="Arial"/>
          <w:b/>
          <w:bCs/>
          <w:color w:val="1A3C6E"/>
          <w:sz w:val="28"/>
          <w:szCs w:val="28"/>
        </w:rPr>
        <w:t xml:space="preserve">4.3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300"/>
        <w:gridCol w:w="1500"/>
        <w:gridCol w:w="2960"/>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Competitor</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Chain</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Cap</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HHD Advantage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Learn &amp; Earn (L&amp;E)</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General education</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Ethereum</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$45M</w:t>
            </w:r>
          </w:p>
        </w:tc>
        <w:tc>
          <w:tcPr>
            <w:tcW w:type="dxa" w:w="2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Research focus, BSC speed/cost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EduCoin (EDU)</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Course marketplace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BSC</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$120M</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Research DAO, AI integration</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OCEAN Protocol</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Data marketplace</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Ethereum</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$380M</w:t>
            </w:r>
          </w:p>
        </w:tc>
        <w:tc>
          <w:tcPr>
            <w:tcW w:type="dxa" w:w="2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Education-specific, SEA focus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Gitcoin (GTC)</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Open source grants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Ethereum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$85M</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Academic credentials, governance</w:t>
            </w:r>
          </w:p>
        </w:tc>
      </w:tr>
      <w:tr>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Proof of Learn (POL)</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Skill verification</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Polygon</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$15M</w:t>
            </w:r>
          </w:p>
        </w:tc>
        <w:tc>
          <w:tcPr>
            <w:tcW w:type="dxa" w:w="2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Full ecosystem, VN regulatory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Coin (HHD)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Ed+Research+AI+DX</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BSC</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Target $50M</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All-in-one, SEA native, founder credibility</w:t>
            </w:r>
          </w:p>
        </w:tc>
      </w:tr>
    </w:tbl>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V: TECHNOLOGY STACK</w:t>
      </w:r>
    </w:p>
    <w:p>
      <w:pPr>
        <w:pStyle w:val="Heading2"/>
        <w:spacing w:after="140" w:before="300"/>
      </w:pPr>
      <w:r>
        <w:rPr>
          <w:rFonts w:ascii="Arial" w:cs="Arial" w:eastAsia="Arial" w:hAnsi="Arial"/>
          <w:b/>
          <w:bCs/>
          <w:color w:val="1A3C6E"/>
          <w:sz w:val="28"/>
          <w:szCs w:val="28"/>
        </w:rPr>
        <w:t xml:space="preserve">5.1 Core Technology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Smart Contracts</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Solidity 0.8.x + OpenZeppelin 5.x</w:t>
            </w:r>
          </w:p>
        </w:tc>
        <w:tc>
          <w:tcPr>
            <w:tcW w:type="dxa" w:w="4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Core token, staking, governance, vesting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Blockchain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BNB Smart Chain (BSC)</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Primary deployment chain</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Cross-chain</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LayerZero v2</w:t>
            </w:r>
          </w:p>
        </w:tc>
        <w:tc>
          <w:tcPr>
            <w:tcW w:type="dxa" w:w="4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BSC-ETH-Solana bridge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Oracles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Chainlink Price Feeds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Real-world data, price feeds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Randomness</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Chainlink VRF v2.5</w:t>
            </w:r>
          </w:p>
        </w:tc>
        <w:tc>
          <w:tcPr>
            <w:tcW w:type="dxa" w:w="4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Fair NFT distribution, lottery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IPFS + Filecoin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Credential documents, research papers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Identity</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DID (W3C Standard)</w:t>
            </w:r>
          </w:p>
        </w:tc>
        <w:tc>
          <w:tcPr>
            <w:tcW w:type="dxa" w:w="4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Decentralized user identity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Next.js 14 + React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Web dApp interface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Backend</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Node.js + GraphQL</w:t>
            </w:r>
          </w:p>
        </w:tc>
        <w:tc>
          <w:tcPr>
            <w:tcW w:type="dxa" w:w="4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API layer and indexing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Indexing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The Graph Protocol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Blockchain data indexing</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Wallet</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MetaMask + WalletConnect</w:t>
            </w:r>
          </w:p>
        </w:tc>
        <w:tc>
          <w:tcPr>
            <w:tcW w:type="dxa" w:w="4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User wallet integration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DEX Integration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PancakeSwap SDK v4</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Token trading and liquidity</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Security</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Hardhat + Foundry</w:t>
            </w:r>
          </w:p>
        </w:tc>
        <w:tc>
          <w:tcPr>
            <w:tcW w:type="dxa" w:w="4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Testing and formal verification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Audits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CertiK + PeckShield</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Smart contract security audits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AI Layer</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HHDAI 2.0 (proprietary)</w:t>
            </w:r>
          </w:p>
        </w:tc>
        <w:tc>
          <w:tcPr>
            <w:tcW w:type="dxa" w:w="45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Research analytics, prediction models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Analytics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Dune Analytics + Nansen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On-chain data and user analytics</w:t>
            </w:r>
          </w:p>
        </w:tc>
      </w:tr>
    </w:tbl>
    <w:p>
      <w:r>
        <w:t xml:space="preserve"/>
      </w:r>
    </w:p>
    <w:p>
      <w:pPr>
        <w:pStyle w:val="Heading2"/>
        <w:spacing w:after="140" w:before="300"/>
      </w:pPr>
      <w:r>
        <w:rPr>
          <w:rFonts w:ascii="Arial" w:cs="Arial" w:eastAsia="Arial" w:hAnsi="Arial"/>
          <w:b/>
          <w:bCs/>
          <w:color w:val="1A3C6E"/>
          <w:sz w:val="28"/>
          <w:szCs w:val="28"/>
        </w:rPr>
        <w:t xml:space="preserve">5.2 HHDAI Integration</w:t>
      </w:r>
    </w:p>
    <w:p>
      <w:pPr>
        <w:spacing w:after="80" w:before="80"/>
        <w:jc w:val="both"/>
      </w:pPr>
      <w:r>
        <w:rPr>
          <w:rFonts w:ascii="Arial" w:cs="Arial" w:eastAsia="Arial" w:hAnsi="Arial"/>
          <w:b w:val="false"/>
          <w:bCs w:val="false"/>
          <w:i w:val="false"/>
          <w:iCs w:val="false"/>
          <w:color w:val="4A4A4A"/>
          <w:sz w:val="22"/>
          <w:szCs w:val="22"/>
        </w:rPr>
        <w:t xml:space="preserve">HHD Coin uniquely integrates the proprietary HHDAI 2.0 platform — a macroeconomic and research intelligence system developed by project founder Do Huu Hai (2025, Vietnam). HHDAI provides:</w:t>
      </w:r>
    </w:p>
    <w:p>
      <w:pPr>
        <w:pStyle w:val="ListParagraph"/>
        <w:numPr>
          <w:ilvl w:val="0"/>
          <w:numId w:val="2"/>
        </w:numPr>
        <w:spacing w:after="60" w:before="60"/>
      </w:pPr>
      <w:r>
        <w:rPr>
          <w:rFonts w:ascii="Arial" w:cs="Arial" w:eastAsia="Arial" w:hAnsi="Arial"/>
          <w:color w:val="4A4A4A"/>
          <w:sz w:val="22"/>
          <w:szCs w:val="22"/>
        </w:rPr>
        <w:t xml:space="preserve">HHD Sensitivity Index: GDP-growth sensitivity framework derived from Harrod-Domar tradition, published as HHD-index</w:t>
      </w:r>
    </w:p>
    <w:p>
      <w:pPr>
        <w:pStyle w:val="ListParagraph"/>
        <w:numPr>
          <w:ilvl w:val="0"/>
          <w:numId w:val="2"/>
        </w:numPr>
        <w:spacing w:after="60" w:before="60"/>
      </w:pPr>
      <w:r>
        <w:rPr>
          <w:rFonts w:ascii="Arial" w:cs="Arial" w:eastAsia="Arial" w:hAnsi="Arial"/>
          <w:color w:val="4A4A4A"/>
          <w:sz w:val="22"/>
          <w:szCs w:val="22"/>
        </w:rPr>
        <w:t xml:space="preserve">Research Paper AI Assistant: AI-powered academic writing and review tool integrated with HHD token payments</w:t>
      </w:r>
    </w:p>
    <w:p>
      <w:pPr>
        <w:pStyle w:val="ListParagraph"/>
        <w:numPr>
          <w:ilvl w:val="0"/>
          <w:numId w:val="2"/>
        </w:numPr>
        <w:spacing w:after="60" w:before="60"/>
      </w:pPr>
      <w:r>
        <w:rPr>
          <w:rFonts w:ascii="Arial" w:cs="Arial" w:eastAsia="Arial" w:hAnsi="Arial"/>
          <w:color w:val="4A4A4A"/>
          <w:sz w:val="22"/>
          <w:szCs w:val="22"/>
        </w:rPr>
        <w:t xml:space="preserve">Macro Intelligence Dashboard: Real-time economic data visualization for 160+ countries</w:t>
      </w:r>
    </w:p>
    <w:p>
      <w:pPr>
        <w:pStyle w:val="ListParagraph"/>
        <w:numPr>
          <w:ilvl w:val="0"/>
          <w:numId w:val="2"/>
        </w:numPr>
        <w:spacing w:after="60" w:before="60"/>
      </w:pPr>
      <w:r>
        <w:rPr>
          <w:rFonts w:ascii="Arial" w:cs="Arial" w:eastAsia="Arial" w:hAnsi="Arial"/>
          <w:color w:val="4A4A4A"/>
          <w:sz w:val="22"/>
          <w:szCs w:val="22"/>
        </w:rPr>
        <w:t xml:space="preserve">Citation Analytics Engine: Blockchain-verified citation tracking with token reward distribution</w:t>
      </w:r>
    </w:p>
    <w:p>
      <w:pPr>
        <w:pStyle w:val="ListParagraph"/>
        <w:numPr>
          <w:ilvl w:val="0"/>
          <w:numId w:val="2"/>
        </w:numPr>
        <w:spacing w:after="60" w:before="60"/>
      </w:pPr>
      <w:r>
        <w:rPr>
          <w:rFonts w:ascii="Arial" w:cs="Arial" w:eastAsia="Arial" w:hAnsi="Arial"/>
          <w:color w:val="4A4A4A"/>
          <w:sz w:val="22"/>
          <w:szCs w:val="22"/>
        </w:rPr>
        <w:t xml:space="preserve">SME Digital Transformation Scoring: AI-powered digital maturity assessment for Vietnamese enterprises</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VI: GOVERNANCE</w:t>
      </w:r>
    </w:p>
    <w:p>
      <w:pPr>
        <w:pStyle w:val="Heading2"/>
        <w:spacing w:after="140" w:before="300"/>
      </w:pPr>
      <w:r>
        <w:rPr>
          <w:rFonts w:ascii="Arial" w:cs="Arial" w:eastAsia="Arial" w:hAnsi="Arial"/>
          <w:b/>
          <w:bCs/>
          <w:color w:val="1A3C6E"/>
          <w:sz w:val="28"/>
          <w:szCs w:val="28"/>
        </w:rPr>
        <w:t xml:space="preserve">6.1 Governance Architecture</w:t>
      </w:r>
    </w:p>
    <w:p>
      <w:pPr>
        <w:spacing w:after="80" w:before="80"/>
        <w:jc w:val="both"/>
      </w:pPr>
      <w:r>
        <w:rPr>
          <w:rFonts w:ascii="Arial" w:cs="Arial" w:eastAsia="Arial" w:hAnsi="Arial"/>
          <w:b w:val="false"/>
          <w:bCs w:val="false"/>
          <w:i w:val="false"/>
          <w:iCs w:val="false"/>
          <w:color w:val="4A4A4A"/>
          <w:sz w:val="22"/>
          <w:szCs w:val="22"/>
        </w:rPr>
        <w:t xml:space="preserve">HHD employs a hybrid governance model combining on-chain DAO mechanisms with an off-chain Foundation Council for operational continuity. This two-tier approach ensures both community sovereignty and institutional accountability.</w:t>
      </w:r>
    </w:p>
    <w:p>
      <w:pPr>
        <w:pStyle w:val="Heading2"/>
        <w:spacing w:after="140" w:before="300"/>
      </w:pPr>
      <w:r>
        <w:rPr>
          <w:rFonts w:ascii="Arial" w:cs="Arial" w:eastAsia="Arial" w:hAnsi="Arial"/>
          <w:b/>
          <w:bCs/>
          <w:color w:val="1A3C6E"/>
          <w:sz w:val="28"/>
          <w:szCs w:val="28"/>
        </w:rPr>
        <w:t xml:space="preserve">6.2 Governance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500"/>
        <w:gridCol w:w="1700"/>
        <w:gridCol w:w="20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Body</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Quorum</w:t>
            </w:r>
          </w:p>
        </w:tc>
        <w:tc>
          <w:tcPr>
            <w:tcW w:type="dxa" w:w="2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Execution</w:t>
            </w:r>
          </w:p>
        </w:tc>
      </w:tr>
      <w:tr>
        <w:tc>
          <w:tcPr>
            <w:tcW w:type="dxa" w:w="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Tier 1</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DAO (token holders)</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Protocol upgrades, major burns, large grants</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 of staked supply</w:t>
            </w:r>
          </w:p>
        </w:tc>
        <w:tc>
          <w:tcPr>
            <w:tcW w:type="dxa" w:w="2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Timelock 48h</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Tier 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Research Council (elected)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Research grant allocations, credential standards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7/13 members</w:t>
            </w:r>
          </w:p>
        </w:tc>
        <w:tc>
          <w:tcPr>
            <w:tcW w:type="dxa" w:w="2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Multisig 5/9</w:t>
            </w:r>
          </w:p>
        </w:tc>
      </w:tr>
      <w:tr>
        <w:tc>
          <w:tcPr>
            <w:tcW w:type="dxa" w:w="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Tier 3</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Foundation Council</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Day-to-day operations, emergency response</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Core team consensus</w:t>
            </w:r>
          </w:p>
        </w:tc>
        <w:tc>
          <w:tcPr>
            <w:tcW w:type="dxa" w:w="2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Immediate</w:t>
            </w:r>
          </w:p>
        </w:tc>
      </w:tr>
    </w:tbl>
    <w:p>
      <w:r>
        <w:t xml:space="preserve"/>
      </w:r>
    </w:p>
    <w:p>
      <w:pPr>
        <w:pStyle w:val="Heading2"/>
        <w:spacing w:after="140" w:before="300"/>
      </w:pPr>
      <w:r>
        <w:rPr>
          <w:rFonts w:ascii="Arial" w:cs="Arial" w:eastAsia="Arial" w:hAnsi="Arial"/>
          <w:b/>
          <w:bCs/>
          <w:color w:val="1A3C6E"/>
          <w:sz w:val="28"/>
          <w:szCs w:val="28"/>
        </w:rPr>
        <w:t xml:space="preserve">6.3 Proposal Process</w:t>
      </w:r>
    </w:p>
    <w:p>
      <w:pPr>
        <w:pStyle w:val="ListParagraph"/>
        <w:numPr>
          <w:ilvl w:val="0"/>
          <w:numId w:val="3"/>
        </w:numPr>
        <w:spacing w:after="60" w:before="60"/>
      </w:pPr>
      <w:r>
        <w:rPr>
          <w:rFonts w:ascii="Arial" w:cs="Arial" w:eastAsia="Arial" w:hAnsi="Arial"/>
          <w:color w:val="4A4A4A"/>
          <w:sz w:val="22"/>
          <w:szCs w:val="22"/>
        </w:rPr>
        <w:t xml:space="preserve">Submission: Any holder with 100,000 HHD (or delegation of equivalent) submits HIP (HHD Improvement Proposal) with 100 HHD fee</w:t>
      </w:r>
    </w:p>
    <w:p>
      <w:pPr>
        <w:pStyle w:val="ListParagraph"/>
        <w:numPr>
          <w:ilvl w:val="0"/>
          <w:numId w:val="3"/>
        </w:numPr>
        <w:spacing w:after="60" w:before="60"/>
      </w:pPr>
      <w:r>
        <w:rPr>
          <w:rFonts w:ascii="Arial" w:cs="Arial" w:eastAsia="Arial" w:hAnsi="Arial"/>
          <w:color w:val="4A4A4A"/>
          <w:sz w:val="22"/>
          <w:szCs w:val="22"/>
        </w:rPr>
        <w:t xml:space="preserve">Discussion: 7-day community discussion period on governance forum</w:t>
      </w:r>
    </w:p>
    <w:p>
      <w:pPr>
        <w:pStyle w:val="ListParagraph"/>
        <w:numPr>
          <w:ilvl w:val="0"/>
          <w:numId w:val="3"/>
        </w:numPr>
        <w:spacing w:after="60" w:before="60"/>
      </w:pPr>
      <w:r>
        <w:rPr>
          <w:rFonts w:ascii="Arial" w:cs="Arial" w:eastAsia="Arial" w:hAnsi="Arial"/>
          <w:color w:val="4A4A4A"/>
          <w:sz w:val="22"/>
          <w:szCs w:val="22"/>
        </w:rPr>
        <w:t xml:space="preserve">Snapshot Vote: 5-day on-chain voting period (1 HHD staked = 1 vote)</w:t>
      </w:r>
    </w:p>
    <w:p>
      <w:pPr>
        <w:pStyle w:val="ListParagraph"/>
        <w:numPr>
          <w:ilvl w:val="0"/>
          <w:numId w:val="3"/>
        </w:numPr>
        <w:spacing w:after="60" w:before="60"/>
      </w:pPr>
      <w:r>
        <w:rPr>
          <w:rFonts w:ascii="Arial" w:cs="Arial" w:eastAsia="Arial" w:hAnsi="Arial"/>
          <w:color w:val="4A4A4A"/>
          <w:sz w:val="22"/>
          <w:szCs w:val="22"/>
        </w:rPr>
        <w:t xml:space="preserve">Timelock: 48-hour timelock after proposal passes (emergency bypass: Foundation multisig)</w:t>
      </w:r>
    </w:p>
    <w:p>
      <w:pPr>
        <w:pStyle w:val="ListParagraph"/>
        <w:numPr>
          <w:ilvl w:val="0"/>
          <w:numId w:val="3"/>
        </w:numPr>
        <w:spacing w:after="60" w:before="60"/>
      </w:pPr>
      <w:r>
        <w:rPr>
          <w:rFonts w:ascii="Arial" w:cs="Arial" w:eastAsia="Arial" w:hAnsi="Arial"/>
          <w:color w:val="4A4A4A"/>
          <w:sz w:val="22"/>
          <w:szCs w:val="22"/>
        </w:rPr>
        <w:t xml:space="preserve">Execution: Automatic execution via smart contract or manual execution by treasury multisig</w:t>
      </w:r>
    </w:p>
    <w:p>
      <w:pPr>
        <w:pStyle w:val="ListParagraph"/>
        <w:numPr>
          <w:ilvl w:val="0"/>
          <w:numId w:val="3"/>
        </w:numPr>
        <w:spacing w:after="60" w:before="60"/>
      </w:pPr>
      <w:r>
        <w:rPr>
          <w:rFonts w:ascii="Arial" w:cs="Arial" w:eastAsia="Arial" w:hAnsi="Arial"/>
          <w:color w:val="4A4A4A"/>
          <w:sz w:val="22"/>
          <w:szCs w:val="22"/>
        </w:rPr>
        <w:t xml:space="preserve">Reporting: Results published on-chain and in monthly transparency report</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VII: 5-YEAR ROADMAP (2026–2030)</w:t>
      </w:r>
    </w:p>
    <w:p>
      <w:pPr>
        <w:pStyle w:val="Heading2"/>
        <w:spacing w:after="140" w:before="300"/>
      </w:pPr>
      <w:r>
        <w:rPr>
          <w:rFonts w:ascii="Arial" w:cs="Arial" w:eastAsia="Arial" w:hAnsi="Arial"/>
          <w:b/>
          <w:bCs/>
          <w:color w:val="1A3C6E"/>
          <w:sz w:val="28"/>
          <w:szCs w:val="28"/>
        </w:rPr>
        <w:t xml:space="preserve">2026 — Foundation Year: Build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800"/>
        <w:gridCol w:w="1800"/>
        <w:gridCol w:w="2460"/>
      </w:tblGrid>
      <w:tr>
        <w:trPr>
          <w:tblHeader/>
        </w:trPr>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Quarter</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Community</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Exchange</w:t>
            </w:r>
          </w:p>
        </w:tc>
        <w:tc>
          <w:tcPr>
            <w:tcW w:type="dxa" w:w="24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Partnership</w:t>
            </w:r>
          </w:p>
        </w:tc>
      </w:tr>
      <w:tr>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Q1 2026</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Smart contract development, audit (CertiK)</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Whitepaper, website, social launch</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Seed round close</w:t>
            </w:r>
          </w:p>
        </w:tc>
        <w:tc>
          <w:tcPr>
            <w:tcW w:type="dxa" w:w="2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VIU, Ton Duc Thang University MOU</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Q2 2026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Testnet launch, HHDAI 2.0 beta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10,000 community members target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Private sale close</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EdTech partners Vietnam (3 platforms)</w:t>
            </w:r>
          </w:p>
        </w:tc>
      </w:tr>
      <w:tr>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Q3 2026</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Mainnet launch (BSC), staking v1</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50,000 community members</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PancakeSwap DEX listing</w:t>
            </w:r>
          </w:p>
        </w:tc>
        <w:tc>
          <w:tcPr>
            <w:tcW w:type="dxa" w:w="2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Research institutes partnership (5)</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Q4 2026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dApp v1.0, credential NFT beta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100,000 community target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MEXC, Gate.io listing</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SEA university network launch</w:t>
            </w:r>
          </w:p>
        </w:tc>
      </w:tr>
    </w:tbl>
    <w:p>
      <w:r>
        <w:t xml:space="preserve"/>
      </w:r>
    </w:p>
    <w:p>
      <w:pPr>
        <w:pStyle w:val="Heading2"/>
        <w:spacing w:after="140" w:before="300"/>
      </w:pPr>
      <w:r>
        <w:rPr>
          <w:rFonts w:ascii="Arial" w:cs="Arial" w:eastAsia="Arial" w:hAnsi="Arial"/>
          <w:b/>
          <w:bCs/>
          <w:color w:val="1A3C6E"/>
          <w:sz w:val="28"/>
          <w:szCs w:val="28"/>
        </w:rPr>
        <w:t xml:space="preserve">2027 — Growth Year: Scale &amp; 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800"/>
        <w:gridCol w:w="1800"/>
        <w:gridCol w:w="2460"/>
      </w:tblGrid>
      <w:tr>
        <w:trPr>
          <w:tblHeader/>
        </w:trPr>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Quarter</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Community</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Exchange</w:t>
            </w:r>
          </w:p>
        </w:tc>
        <w:tc>
          <w:tcPr>
            <w:tcW w:type="dxa" w:w="24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Partnership</w:t>
            </w:r>
          </w:p>
        </w:tc>
      </w:tr>
      <w:tr>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Q1 2027</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Research DAO v1.0 launch</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250,000 community</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BitMart, LBank listing</w:t>
            </w:r>
          </w:p>
        </w:tc>
        <w:tc>
          <w:tcPr>
            <w:tcW w:type="dxa" w:w="2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Singapore, Thailand university network</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Q2 2027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Launchpad beta, cross-chain bridge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500,000 community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KuCoin listing application</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Animoca Brands exploration</w:t>
            </w:r>
          </w:p>
        </w:tc>
      </w:tr>
      <w:tr>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Q3 2027</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NFT Marketplace for credentials</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1M community</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KuCoin listing</w:t>
            </w:r>
          </w:p>
        </w:tc>
        <w:tc>
          <w:tcPr>
            <w:tcW w:type="dxa" w:w="2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Government EdTech pilot (Vietnam MOET)</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Q4 2027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Governance v2.0, treasury expansion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2M community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Bybit listing</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World Bank education program alignment</w:t>
            </w:r>
          </w:p>
        </w:tc>
      </w:tr>
    </w:tbl>
    <w:p>
      <w:r>
        <w:t xml:space="preserve"/>
      </w:r>
    </w:p>
    <w:p>
      <w:pPr>
        <w:pStyle w:val="Heading2"/>
        <w:spacing w:after="140" w:before="300"/>
      </w:pPr>
      <w:r>
        <w:rPr>
          <w:rFonts w:ascii="Arial" w:cs="Arial" w:eastAsia="Arial" w:hAnsi="Arial"/>
          <w:b/>
          <w:bCs/>
          <w:color w:val="1A3C6E"/>
          <w:sz w:val="28"/>
          <w:szCs w:val="28"/>
        </w:rPr>
        <w:t xml:space="preserve">2028 — Maturity Year: Global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800"/>
        <w:gridCol w:w="1800"/>
        <w:gridCol w:w="2460"/>
      </w:tblGrid>
      <w:tr>
        <w:trPr>
          <w:tblHeader/>
        </w:trPr>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Quarter</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Community</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Exchange</w:t>
            </w:r>
          </w:p>
        </w:tc>
        <w:tc>
          <w:tcPr>
            <w:tcW w:type="dxa" w:w="24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Partnership</w:t>
            </w:r>
          </w:p>
        </w:tc>
      </w:tr>
      <w:tr>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Q1 2028</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AI Research Assistant full launch</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3M community</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OKX listing</w:t>
            </w:r>
          </w:p>
        </w:tc>
        <w:tc>
          <w:tcPr>
            <w:tcW w:type="dxa" w:w="2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Binance Labs grant application</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Q2 2028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DigiX (SME transformation) platform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5M community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Binance listing preparation</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ASEAN Digital Economy Framework</w:t>
            </w:r>
          </w:p>
        </w:tc>
      </w:tr>
      <w:tr>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Q3 2028</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HHDAI 3.0 with multi-language support</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7M community</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Binance listing target</w:t>
            </w:r>
          </w:p>
        </w:tc>
        <w:tc>
          <w:tcPr>
            <w:tcW w:type="dxa" w:w="2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UNESCO EdTech partnership</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Q4 2028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Layer-2 solution exploration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10M community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Coinbase listing preparation</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Global research foundation partners</w:t>
            </w:r>
          </w:p>
        </w:tc>
      </w:tr>
    </w:tbl>
    <w:p>
      <w:r>
        <w:t xml:space="preserve"/>
      </w:r>
    </w:p>
    <w:p>
      <w:pPr>
        <w:pStyle w:val="Heading2"/>
        <w:spacing w:after="140" w:before="300"/>
      </w:pPr>
      <w:r>
        <w:rPr>
          <w:rFonts w:ascii="Arial" w:cs="Arial" w:eastAsia="Arial" w:hAnsi="Arial"/>
          <w:b/>
          <w:bCs/>
          <w:color w:val="1A3C6E"/>
          <w:sz w:val="28"/>
          <w:szCs w:val="28"/>
        </w:rPr>
        <w:t xml:space="preserve">2029–2030 — Leadership: Global Knowledge Economy</w:t>
      </w:r>
    </w:p>
    <w:p>
      <w:pPr>
        <w:pStyle w:val="ListParagraph"/>
        <w:numPr>
          <w:ilvl w:val="0"/>
          <w:numId w:val="2"/>
        </w:numPr>
        <w:spacing w:after="60" w:before="60"/>
      </w:pPr>
      <w:r>
        <w:rPr>
          <w:rFonts w:ascii="Arial" w:cs="Arial" w:eastAsia="Arial" w:hAnsi="Arial"/>
          <w:color w:val="4A4A4A"/>
          <w:sz w:val="22"/>
          <w:szCs w:val="22"/>
        </w:rPr>
        <w:t xml:space="preserve">2029: Coinbase listing, HHD becomes Top 200 by market cap globally</w:t>
      </w:r>
    </w:p>
    <w:p>
      <w:pPr>
        <w:pStyle w:val="ListParagraph"/>
        <w:numPr>
          <w:ilvl w:val="0"/>
          <w:numId w:val="2"/>
        </w:numPr>
        <w:spacing w:after="60" w:before="60"/>
      </w:pPr>
      <w:r>
        <w:rPr>
          <w:rFonts w:ascii="Arial" w:cs="Arial" w:eastAsia="Arial" w:hAnsi="Arial"/>
          <w:color w:val="4A4A4A"/>
          <w:sz w:val="22"/>
          <w:szCs w:val="22"/>
        </w:rPr>
        <w:t xml:space="preserve">2029: HHD used by 50+ universities across 15 countries for credential verification</w:t>
      </w:r>
    </w:p>
    <w:p>
      <w:pPr>
        <w:pStyle w:val="ListParagraph"/>
        <w:numPr>
          <w:ilvl w:val="0"/>
          <w:numId w:val="2"/>
        </w:numPr>
        <w:spacing w:after="60" w:before="60"/>
      </w:pPr>
      <w:r>
        <w:rPr>
          <w:rFonts w:ascii="Arial" w:cs="Arial" w:eastAsia="Arial" w:hAnsi="Arial"/>
          <w:color w:val="4A4A4A"/>
          <w:sz w:val="22"/>
          <w:szCs w:val="22"/>
        </w:rPr>
        <w:t xml:space="preserve">2029: $500M+ TVL in HHD staking and liquidity pools</w:t>
      </w:r>
    </w:p>
    <w:p>
      <w:pPr>
        <w:pStyle w:val="ListParagraph"/>
        <w:numPr>
          <w:ilvl w:val="0"/>
          <w:numId w:val="2"/>
        </w:numPr>
        <w:spacing w:after="60" w:before="60"/>
      </w:pPr>
      <w:r>
        <w:rPr>
          <w:rFonts w:ascii="Arial" w:cs="Arial" w:eastAsia="Arial" w:hAnsi="Arial"/>
          <w:color w:val="4A4A4A"/>
          <w:sz w:val="22"/>
          <w:szCs w:val="22"/>
        </w:rPr>
        <w:t xml:space="preserve">2030: 20M+ registered HHD wallet users globally</w:t>
      </w:r>
    </w:p>
    <w:p>
      <w:pPr>
        <w:pStyle w:val="ListParagraph"/>
        <w:numPr>
          <w:ilvl w:val="0"/>
          <w:numId w:val="2"/>
        </w:numPr>
        <w:spacing w:after="60" w:before="60"/>
      </w:pPr>
      <w:r>
        <w:rPr>
          <w:rFonts w:ascii="Arial" w:cs="Arial" w:eastAsia="Arial" w:hAnsi="Arial"/>
          <w:color w:val="4A4A4A"/>
          <w:sz w:val="22"/>
          <w:szCs w:val="22"/>
        </w:rPr>
        <w:t xml:space="preserve">2030: HHD recognized as the primary token of ASEAN knowledge economy</w:t>
      </w:r>
    </w:p>
    <w:p>
      <w:pPr>
        <w:pStyle w:val="ListParagraph"/>
        <w:numPr>
          <w:ilvl w:val="0"/>
          <w:numId w:val="2"/>
        </w:numPr>
        <w:spacing w:after="60" w:before="60"/>
      </w:pPr>
      <w:r>
        <w:rPr>
          <w:rFonts w:ascii="Arial" w:cs="Arial" w:eastAsia="Arial" w:hAnsi="Arial"/>
          <w:color w:val="4A4A4A"/>
          <w:sz w:val="22"/>
          <w:szCs w:val="22"/>
        </w:rPr>
        <w:t xml:space="preserve">2030: HHD Foundation becomes internationally accredited EdTech standards body</w:t>
      </w:r>
    </w:p>
    <w:p>
      <w:pPr>
        <w:pStyle w:val="ListParagraph"/>
        <w:numPr>
          <w:ilvl w:val="0"/>
          <w:numId w:val="2"/>
        </w:numPr>
        <w:spacing w:after="60" w:before="60"/>
      </w:pPr>
      <w:r>
        <w:rPr>
          <w:rFonts w:ascii="Arial" w:cs="Arial" w:eastAsia="Arial" w:hAnsi="Arial"/>
          <w:color w:val="4A4A4A"/>
          <w:sz w:val="22"/>
          <w:szCs w:val="22"/>
        </w:rPr>
        <w:t xml:space="preserve">2030: $1B+ market capitalization target (conservative scenario)</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VIII: TOKEN SALE DESIGN (ICO/IDO/IEO)</w:t>
      </w:r>
    </w:p>
    <w:p>
      <w:pPr>
        <w:pStyle w:val="Heading2"/>
        <w:spacing w:after="140" w:before="300"/>
      </w:pPr>
      <w:r>
        <w:rPr>
          <w:rFonts w:ascii="Arial" w:cs="Arial" w:eastAsia="Arial" w:hAnsi="Arial"/>
          <w:b/>
          <w:bCs/>
          <w:color w:val="1A3C6E"/>
          <w:sz w:val="28"/>
          <w:szCs w:val="28"/>
        </w:rPr>
        <w:t xml:space="preserve">8.1 Fundraising Rounds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1600"/>
        <w:gridCol w:w="1400"/>
        <w:gridCol w:w="1700"/>
        <w:gridCol w:w="1460"/>
      </w:tblGrid>
      <w:tr>
        <w:trPr>
          <w:tblHeader/>
        </w:trPr>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Round</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Tokens</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Raise Target</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Valuation</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Investors</w:t>
            </w:r>
          </w:p>
        </w:tc>
        <w:tc>
          <w:tcPr>
            <w:tcW w:type="dxa" w:w="14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Angel</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$0.003</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10,000,000</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$30,000</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$3M FDV</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Founder network</w:t>
            </w:r>
          </w:p>
        </w:tc>
        <w:tc>
          <w:tcPr>
            <w:tcW w:type="dxa" w:w="1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Q1 2026</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Seed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$0.005</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50,000,000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$250,000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$5M FDV</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VCs, Angels</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Q1 2026</w:t>
            </w:r>
          </w:p>
        </w:tc>
      </w:tr>
      <w:tr>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Private A</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$0.008</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40,000,000</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$320,000</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$8M FDV</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Strategic VCs</w:t>
            </w:r>
          </w:p>
        </w:tc>
        <w:tc>
          <w:tcPr>
            <w:tcW w:type="dxa" w:w="1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Q2 2026</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Private 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$0.010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40,000,000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$400,000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$10M FDV</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Institutional</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Q2 2026</w:t>
            </w:r>
          </w:p>
        </w:tc>
      </w:tr>
      <w:tr>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Public Sale</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$0.020</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100,000,000</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$2,000,000</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$20M FDV</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Community</w:t>
            </w:r>
          </w:p>
        </w:tc>
        <w:tc>
          <w:tcPr>
            <w:tcW w:type="dxa" w:w="1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Q3 2026</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IEO (MEXC)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$0.025</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25,000,000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$625,000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$25M FDV</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Exchange users</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Q4 2026</w:t>
            </w:r>
          </w:p>
        </w:tc>
      </w:tr>
      <w:tr>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TOTAL</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265,000,000</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$3,625,000</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
            </w:r>
          </w:p>
        </w:tc>
        <w:tc>
          <w:tcPr>
            <w:tcW w:type="dxa" w:w="1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
            </w:r>
          </w:p>
        </w:tc>
      </w:tr>
    </w:tbl>
    <w:p>
      <w:r>
        <w:t xml:space="preserve"/>
      </w:r>
    </w:p>
    <w:p>
      <w:pPr>
        <w:pStyle w:val="Heading2"/>
        <w:spacing w:after="140" w:before="300"/>
      </w:pPr>
      <w:r>
        <w:rPr>
          <w:rFonts w:ascii="Arial" w:cs="Arial" w:eastAsia="Arial" w:hAnsi="Arial"/>
          <w:b/>
          <w:bCs/>
          <w:color w:val="1A3C6E"/>
          <w:sz w:val="28"/>
          <w:szCs w:val="28"/>
        </w:rPr>
        <w:t xml:space="preserve">8.2 Investor Rights &amp;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Benefit</w:t>
            </w:r>
          </w:p>
        </w:tc>
        <w:tc>
          <w:tcPr>
            <w:tcW w:type="dxa" w:w="2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Seed</w:t>
            </w:r>
          </w:p>
        </w:tc>
        <w:tc>
          <w:tcPr>
            <w:tcW w:type="dxa" w:w="2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Private A/B</w:t>
            </w:r>
          </w:p>
        </w:tc>
        <w:tc>
          <w:tcPr>
            <w:tcW w:type="dxa" w:w="2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Public</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Token allocation</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50M HHD</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80M HHD</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100M HHD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Bonus tokens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+20%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+10%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None</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Vesting cliff</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6 months</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 months</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Vesting period</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18 months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9 months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6 months</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Advisory access</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Yes</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Limited</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Governance rights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Full</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Full</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Full</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Staking auto-enrollment</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Platinum tier</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Gold tier</w:t>
            </w:r>
          </w:p>
        </w:tc>
        <w:tc>
          <w:tcPr>
            <w:tcW w:type="dxa" w:w="212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Standard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Research DAO access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Full</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Full</w:t>
            </w:r>
          </w:p>
        </w:tc>
        <w:tc>
          <w:tcPr>
            <w:tcW w:type="dxa" w:w="2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Standard</w:t>
            </w:r>
          </w:p>
        </w:tc>
      </w:tr>
    </w:tbl>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IX: EXCHANGE LISTING STRATEGY</w:t>
      </w:r>
    </w:p>
    <w:p>
      <w:pPr>
        <w:pStyle w:val="Heading2"/>
        <w:spacing w:after="140" w:before="300"/>
      </w:pPr>
      <w:r>
        <w:rPr>
          <w:rFonts w:ascii="Arial" w:cs="Arial" w:eastAsia="Arial" w:hAnsi="Arial"/>
          <w:b/>
          <w:bCs/>
          <w:color w:val="1A3C6E"/>
          <w:sz w:val="28"/>
          <w:szCs w:val="28"/>
        </w:rPr>
        <w:t xml:space="preserve">9.1 Phase 1: DEX Listing (Q3–Q4 2026)</w:t>
      </w:r>
    </w:p>
    <w:p>
      <w:pPr>
        <w:pStyle w:val="Heading3"/>
        <w:spacing w:after="100" w:before="200"/>
      </w:pPr>
      <w:r>
        <w:rPr>
          <w:rFonts w:ascii="Arial" w:cs="Arial" w:eastAsia="Arial" w:hAnsi="Arial"/>
          <w:b/>
          <w:bCs/>
          <w:color w:val="2E6DB4"/>
          <w:sz w:val="24"/>
          <w:szCs w:val="24"/>
        </w:rPr>
        <w:t xml:space="preserve">PancakeSwap (BSC) &amp; Uniswap (Ethereum)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34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PancakeSwap</w:t>
            </w:r>
          </w:p>
        </w:tc>
        <w:tc>
          <w:tcPr>
            <w:tcW w:type="dxa" w:w="34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Uniswap</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Listing Type</w:t>
            </w:r>
          </w:p>
        </w:tc>
        <w:tc>
          <w:tcPr>
            <w:tcW w:type="dxa" w:w="348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Permissionless (self-listing)</w:t>
            </w:r>
          </w:p>
        </w:tc>
        <w:tc>
          <w:tcPr>
            <w:tcW w:type="dxa" w:w="348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Permissionless (self-listing)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Required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Deploy LP pair: HHD/BNB + HHD/USDT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Deploy LP pair: wHHD/ETH + wHHD/USDC</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Initial Liquidity</w:t>
            </w:r>
          </w:p>
        </w:tc>
        <w:tc>
          <w:tcPr>
            <w:tcW w:type="dxa" w:w="348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$200,000+ (from 4% allocation)</w:t>
            </w:r>
          </w:p>
        </w:tc>
        <w:tc>
          <w:tcPr>
            <w:tcW w:type="dxa" w:w="348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$50,000+ (from bridge allocation)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Audit Required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Recommended (CertiK)</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Recommended (PeckShield)</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KYC</w:t>
            </w:r>
          </w:p>
        </w:tc>
        <w:tc>
          <w:tcPr>
            <w:tcW w:type="dxa" w:w="348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Not required</w:t>
            </w:r>
          </w:p>
        </w:tc>
        <w:tc>
          <w:tcPr>
            <w:tcW w:type="dxa" w:w="348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Not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Community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Minimum 10,000 holders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Minimum 2,000 holders</w:t>
            </w:r>
          </w:p>
        </w:tc>
      </w:tr>
      <w:tr>
        <w:tc>
          <w:tcPr>
            <w:tcW w:type="dxa" w:w="2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Timeline</w:t>
            </w:r>
          </w:p>
        </w:tc>
        <w:tc>
          <w:tcPr>
            <w:tcW w:type="dxa" w:w="348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Q3 2026 (Mainnet launch)</w:t>
            </w:r>
          </w:p>
        </w:tc>
        <w:tc>
          <w:tcPr>
            <w:tcW w:type="dxa" w:w="348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Q4 2026 (Post-bridge deployment)</w:t>
            </w:r>
          </w:p>
        </w:tc>
      </w:tr>
    </w:tbl>
    <w:p>
      <w:r>
        <w:t xml:space="preserve"/>
      </w:r>
    </w:p>
    <w:p>
      <w:pPr>
        <w:pStyle w:val="Heading2"/>
        <w:spacing w:after="140" w:before="300"/>
      </w:pPr>
      <w:r>
        <w:rPr>
          <w:rFonts w:ascii="Arial" w:cs="Arial" w:eastAsia="Arial" w:hAnsi="Arial"/>
          <w:b/>
          <w:bCs/>
          <w:color w:val="1A3C6E"/>
          <w:sz w:val="28"/>
          <w:szCs w:val="28"/>
        </w:rPr>
        <w:t xml:space="preserve">9.2 Phase 2: Tier-3 CEX (Q4 2026 – Q2 2027)</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200"/>
        <w:gridCol w:w="1100"/>
        <w:gridCol w:w="1400"/>
        <w:gridCol w:w="1200"/>
        <w:gridCol w:w="1260"/>
      </w:tblGrid>
      <w:tr>
        <w:trPr>
          <w:tblHeader/>
        </w:trPr>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Exchange</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MC Requirement</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Volume/Day</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Holders</w:t>
            </w:r>
          </w:p>
        </w:tc>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Audit</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KYC</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Fee Est.</w:t>
            </w:r>
          </w:p>
        </w:tc>
        <w:tc>
          <w:tcPr>
            <w:tcW w:type="dxa" w:w="1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MEXC Global</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$5M+</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$100K+</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5,000+</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Required</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Project KYC</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$0–$20K</w:t>
            </w:r>
          </w:p>
        </w:tc>
        <w:tc>
          <w:tcPr>
            <w:tcW w:type="dxa" w:w="1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Q4 2026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Gate.io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$200K+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Full KYC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$10–$50K</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Q1 2027</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BitMart</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$5M+</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$50K+</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3,000+</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Required</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Project KYC</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$0–$30K</w:t>
            </w:r>
          </w:p>
        </w:tc>
        <w:tc>
          <w:tcPr>
            <w:tcW w:type="dxa" w:w="1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Q1 2027</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LBank</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$3M+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2,000+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Recommended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Project KYC</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$5–$20K</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Q2 2027</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CoinEx</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$5M+</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$100K+</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5,000+</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Required</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Full KYC</w:t>
            </w:r>
          </w:p>
        </w:tc>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$10–$30K</w:t>
            </w:r>
          </w:p>
        </w:tc>
        <w:tc>
          <w:tcPr>
            <w:tcW w:type="dxa" w:w="1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Q2 2027</w:t>
            </w:r>
          </w:p>
        </w:tc>
      </w:tr>
    </w:tbl>
    <w:p>
      <w:r>
        <w:t xml:space="preserve"/>
      </w:r>
    </w:p>
    <w:p>
      <w:pPr>
        <w:pStyle w:val="Heading2"/>
        <w:spacing w:after="140" w:before="300"/>
      </w:pPr>
      <w:r>
        <w:rPr>
          <w:rFonts w:ascii="Arial" w:cs="Arial" w:eastAsia="Arial" w:hAnsi="Arial"/>
          <w:b/>
          <w:bCs/>
          <w:color w:val="1A3C6E"/>
          <w:sz w:val="28"/>
          <w:szCs w:val="28"/>
        </w:rPr>
        <w:t xml:space="preserve">9.3 Phase 3: Tier-2 CEX (Q3 2027 – Q2 2028)</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800"/>
        <w:gridCol w:w="2000"/>
        <w:gridCol w:w="1360"/>
      </w:tblGrid>
      <w:tr>
        <w:trPr>
          <w:tblHeader/>
        </w:trPr>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Exchange</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MC Requirement</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TVL</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Volume/Day</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Community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Governance</w:t>
            </w:r>
          </w:p>
        </w:tc>
        <w:tc>
          <w:tcPr>
            <w:tcW w:type="dxa" w:w="1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KuCoin</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$30M+</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$1M+ TVL</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$500K+/day</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100K+ holders</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Active DAO</w:t>
            </w:r>
          </w:p>
        </w:tc>
        <w:tc>
          <w:tcPr>
            <w:tcW w:type="dxa" w:w="1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Q3 2027</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Bybit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$2M+ TVL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$1M+/day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200K+ holders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Functioning DAO</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Q4 2027</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OKX</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$80M+</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$5M+ TVL</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$2M+/day</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500K+ holders</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Mature governance</w:t>
            </w:r>
          </w:p>
        </w:tc>
        <w:tc>
          <w:tcPr>
            <w:tcW w:type="dxa" w:w="1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Q1 2028</w:t>
            </w:r>
          </w:p>
        </w:tc>
      </w:tr>
    </w:tbl>
    <w:p>
      <w:r>
        <w:t xml:space="preserve"/>
      </w:r>
    </w:p>
    <w:p>
      <w:pPr>
        <w:pStyle w:val="Heading2"/>
        <w:spacing w:after="140" w:before="300"/>
      </w:pPr>
      <w:r>
        <w:rPr>
          <w:rFonts w:ascii="Arial" w:cs="Arial" w:eastAsia="Arial" w:hAnsi="Arial"/>
          <w:b/>
          <w:bCs/>
          <w:color w:val="1A3C6E"/>
          <w:sz w:val="28"/>
          <w:szCs w:val="28"/>
        </w:rPr>
        <w:t xml:space="preserve">9.4 Phase 4: Tier-1 CEX — Binance &amp; Coinbase (2028+)</w:t>
      </w:r>
    </w:p>
    <w:p>
      <w:pPr>
        <w:pStyle w:val="Heading3"/>
        <w:spacing w:after="100" w:before="200"/>
      </w:pPr>
      <w:r>
        <w:rPr>
          <w:rFonts w:ascii="Arial" w:cs="Arial" w:eastAsia="Arial" w:hAnsi="Arial"/>
          <w:b/>
          <w:bCs/>
          <w:color w:val="2E6DB4"/>
          <w:sz w:val="24"/>
          <w:szCs w:val="24"/>
        </w:rPr>
        <w:t xml:space="preserve">Binance Listing Requirements (Target: Q3 2028)</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11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HHD Target</w:t>
            </w:r>
          </w:p>
        </w:tc>
        <w:tc>
          <w:tcPr>
            <w:tcW w:type="dxa" w:w="1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Market Cap</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$100M+ sustained</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$150M by Q2 2028</w:t>
            </w:r>
          </w:p>
        </w:tc>
        <w:tc>
          <w:tcPr>
            <w:tcW w:type="dxa" w:w="1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 progress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Daily Volume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$5M+/day for 90 days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$8M+/day target</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In progress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Holders</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500,000+ active wallets</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700,000+ target</w:t>
            </w:r>
          </w:p>
        </w:tc>
        <w:tc>
          <w:tcPr>
            <w:tcW w:type="dxa" w:w="1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 progress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Smart Contract Audit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CertiK + one additional</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CertiK + PeckShield</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Q2 2026</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Tokenomics</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Transparent, non-inflationary</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Deflationary, public</w:t>
            </w:r>
          </w:p>
        </w:tc>
        <w:tc>
          <w:tcPr>
            <w:tcW w:type="dxa" w:w="1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Completed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Legal Compliance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BVI/Cayman foundation + legal opinion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Foundation + DLA Piper</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Q2 2026</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Team KYC</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Public, verifiable team</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All team public</w:t>
            </w:r>
          </w:p>
        </w:tc>
        <w:tc>
          <w:tcPr>
            <w:tcW w:type="dxa" w:w="1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Completed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Ecosystem</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Working product with real users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100K+ DAU target</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Q1 2028</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Governance</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Functioning on-chain DAO</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DAO v2.0</w:t>
            </w:r>
          </w:p>
        </w:tc>
        <w:tc>
          <w:tcPr>
            <w:tcW w:type="dxa" w:w="1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Q4 2027</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Liquidity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Market maker engaged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Wintermute/GSR</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Q1 2028</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Binance Labs</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Grant or investment preferred</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Application Q1 2027</w:t>
            </w:r>
          </w:p>
        </w:tc>
        <w:tc>
          <w:tcPr>
            <w:tcW w:type="dxa" w:w="1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Planned</w:t>
            </w:r>
          </w:p>
        </w:tc>
      </w:tr>
    </w:tbl>
    <w:p>
      <w:r>
        <w:t xml:space="preserve"/>
      </w:r>
    </w:p>
    <w:p>
      <w:pPr>
        <w:pStyle w:val="Heading3"/>
        <w:spacing w:after="100" w:before="200"/>
      </w:pPr>
      <w:r>
        <w:rPr>
          <w:rFonts w:ascii="Arial" w:cs="Arial" w:eastAsia="Arial" w:hAnsi="Arial"/>
          <w:b/>
          <w:bCs/>
          <w:color w:val="2E6DB4"/>
          <w:sz w:val="24"/>
          <w:szCs w:val="24"/>
        </w:rPr>
        <w:t xml:space="preserve">Coinbase Listing Requirements (Target: Q4 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4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HHD Approach</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Compliance</w:t>
            </w:r>
          </w:p>
        </w:tc>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Full regulatory compliance (no securities)</w:t>
            </w:r>
          </w:p>
        </w:tc>
        <w:tc>
          <w:tcPr>
            <w:tcW w:type="dxa" w:w="4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Utility token legal opinion, Cayman foundation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No known vulnerabilities, third-party audit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CertiK + Trail of Bits audit</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Technology</w:t>
            </w:r>
          </w:p>
        </w:tc>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Functional mainnet, open-source code</w:t>
            </w:r>
          </w:p>
        </w:tc>
        <w:tc>
          <w:tcPr>
            <w:tcW w:type="dxa" w:w="4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GitHub public repo, BSC mainnet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Financials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Transparent, no fraudulent activity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Quarterly treasury reports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Team</w:t>
            </w:r>
          </w:p>
        </w:tc>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Identifiable, no sanctions</w:t>
            </w:r>
          </w:p>
        </w:tc>
        <w:tc>
          <w:tcPr>
            <w:tcW w:type="dxa" w:w="4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Full KYC for all core team members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Community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Legitimate, organic growth</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No wash trading, real community metrics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Listing Fee</w:t>
            </w:r>
          </w:p>
        </w:tc>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None (Coinbase is free-to-apply)</w:t>
            </w:r>
          </w:p>
        </w:tc>
        <w:tc>
          <w:tcPr>
            <w:tcW w:type="dxa" w:w="43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Application only — quality-based decision</w:t>
            </w:r>
          </w:p>
        </w:tc>
      </w:tr>
    </w:tbl>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X: SMART CONTRACT</w:t>
      </w:r>
    </w:p>
    <w:p>
      <w:pPr>
        <w:pStyle w:val="Heading2"/>
        <w:spacing w:after="140" w:before="300"/>
      </w:pPr>
      <w:r>
        <w:rPr>
          <w:rFonts w:ascii="Arial" w:cs="Arial" w:eastAsia="Arial" w:hAnsi="Arial"/>
          <w:b/>
          <w:bCs/>
          <w:color w:val="1A3C6E"/>
          <w:sz w:val="28"/>
          <w:szCs w:val="28"/>
        </w:rPr>
        <w:t xml:space="preserve">10.1 HHDToken.sol — Core BEP-20 Contract</w:t>
      </w:r>
    </w:p>
    <w:p>
      <w:pPr>
        <w:spacing w:after="80" w:before="80"/>
        <w:jc w:val="both"/>
      </w:pPr>
      <w:r>
        <w:rPr>
          <w:rFonts w:ascii="Arial" w:cs="Arial" w:eastAsia="Arial" w:hAnsi="Arial"/>
          <w:b w:val="false"/>
          <w:bCs w:val="false"/>
          <w:i w:val="false"/>
          <w:iCs w:val="false"/>
          <w:color w:val="4A4A4A"/>
          <w:sz w:val="22"/>
          <w:szCs w:val="22"/>
        </w:rPr>
        <w:t xml:space="preserve">The following represents the specification for the HHD Coin smart contract. Full source code to be published on GitHub and verified on BscScan at mainnet launch.</w:t>
      </w:r>
    </w:p>
    <w:p>
      <w:pPr>
        <w:shd w:fill="1E1E2E" w:val="clear"/>
        <w:spacing w:after="80" w:before="80"/>
      </w:pPr>
      <w:r>
        <w:rPr>
          <w:rFonts w:ascii="Courier New" w:cs="Courier New" w:eastAsia="Courier New" w:hAnsi="Courier New"/>
          <w:color w:val="569CD6"/>
          <w:sz w:val="18"/>
          <w:szCs w:val="18"/>
        </w:rPr>
        <w:t xml:space="preserve">// SPDX-License-Identifier: MIT</w:t>
      </w:r>
    </w:p>
    <w:p>
      <w:pPr>
        <w:shd w:fill="1E1E2E" w:val="clear"/>
      </w:pPr>
      <w:r>
        <w:rPr>
          <w:rFonts w:ascii="Courier New" w:cs="Courier New" w:eastAsia="Courier New" w:hAnsi="Courier New"/>
          <w:color w:val="608B4E"/>
          <w:sz w:val="18"/>
          <w:szCs w:val="18"/>
        </w:rPr>
        <w:t xml:space="preserve">// HHD Coin (HHD) - BEP-20 Token</w:t>
      </w:r>
    </w:p>
    <w:p>
      <w:pPr>
        <w:shd w:fill="1E1E2E" w:val="clear"/>
      </w:pPr>
      <w:r>
        <w:rPr>
          <w:rFonts w:ascii="Courier New" w:cs="Courier New" w:eastAsia="Courier New" w:hAnsi="Courier New"/>
          <w:color w:val="608B4E"/>
          <w:sz w:val="18"/>
          <w:szCs w:val="18"/>
        </w:rPr>
        <w:t xml:space="preserve">// Author: Do Huu Hai, VIU | Version: 1.0.0</w:t>
      </w:r>
    </w:p>
    <w:p>
      <w:pPr>
        <w:shd w:fill="1E1E2E" w:val="clear"/>
      </w:pPr>
      <w:r>
        <w:rPr>
          <w:rFonts w:ascii="Courier New" w:cs="Courier New" w:eastAsia="Courier New" w:hAnsi="Courier New"/>
          <w:color w:val="C586C0"/>
          <w:sz w:val="18"/>
          <w:szCs w:val="18"/>
        </w:rPr>
        <w:t xml:space="preserve">pragma solidity ^0.8.20;</w:t>
      </w:r>
    </w:p>
    <w:p>
      <w:pPr>
        <w:shd w:fill="1E1E2E" w:val="clear"/>
      </w:pPr>
      <w:r>
        <w:rPr>
          <w:rFonts w:ascii="Courier New" w:cs="Courier New" w:eastAsia="Courier New" w:hAnsi="Courier New"/>
          <w:color w:val="9CDCFE"/>
          <w:sz w:val="18"/>
          <w:szCs w:val="18"/>
        </w:rPr>
        <w:t xml:space="preserve">import "@openzeppelin/contracts/token/ERC20/ERC20.sol";</w:t>
      </w:r>
    </w:p>
    <w:p>
      <w:pPr>
        <w:shd w:fill="1E1E2E" w:val="clear"/>
      </w:pPr>
      <w:r>
        <w:rPr>
          <w:rFonts w:ascii="Courier New" w:cs="Courier New" w:eastAsia="Courier New" w:hAnsi="Courier New"/>
          <w:color w:val="9CDCFE"/>
          <w:sz w:val="18"/>
          <w:szCs w:val="18"/>
        </w:rPr>
        <w:t xml:space="preserve">import "@openzeppelin/contracts/token/ERC20/extensions/ERC20Burnable.sol";</w:t>
      </w:r>
    </w:p>
    <w:p>
      <w:pPr>
        <w:shd w:fill="1E1E2E" w:val="clear"/>
      </w:pPr>
      <w:r>
        <w:rPr>
          <w:rFonts w:ascii="Courier New" w:cs="Courier New" w:eastAsia="Courier New" w:hAnsi="Courier New"/>
          <w:color w:val="9CDCFE"/>
          <w:sz w:val="18"/>
          <w:szCs w:val="18"/>
        </w:rPr>
        <w:t xml:space="preserve">import "@openzeppelin/contracts/access/Ownable.sol";</w:t>
      </w:r>
    </w:p>
    <w:p>
      <w:pPr>
        <w:shd w:fill="1E1E2E" w:val="clear"/>
      </w:pPr>
      <w:r>
        <w:rPr>
          <w:rFonts w:ascii="Courier New" w:cs="Courier New" w:eastAsia="Courier New" w:hAnsi="Courier New"/>
          <w:color w:val="9CDCFE"/>
          <w:sz w:val="18"/>
          <w:szCs w:val="18"/>
        </w:rPr>
        <w:t xml:space="preserve">import "@openzeppelin/contracts/security/Pausable.sol";</w:t>
      </w:r>
    </w:p>
    <w:p>
      <w:pPr>
        <w:shd w:fill="1E1E2E" w:val="clear"/>
      </w:pPr>
      <w:r>
        <w:rPr>
          <w:rFonts w:ascii="Courier New" w:cs="Courier New" w:eastAsia="Courier New" w:hAnsi="Courier New"/>
          <w:color w:val="9CDCFE"/>
          <w:sz w:val="18"/>
          <w:szCs w:val="18"/>
        </w:rPr>
        <w:t xml:space="preserve"/>
      </w:r>
    </w:p>
    <w:p>
      <w:pPr>
        <w:shd w:fill="1E1E2E" w:val="clear"/>
      </w:pPr>
      <w:r>
        <w:rPr>
          <w:rFonts w:ascii="Courier New" w:cs="Courier New" w:eastAsia="Courier New" w:hAnsi="Courier New"/>
          <w:color w:val="4EC9B0"/>
          <w:sz w:val="18"/>
          <w:szCs w:val="18"/>
        </w:rPr>
        <w:t xml:space="preserve">contract HHDToken is ERC20, ERC20Burnable, Ownable, Pausable {</w:t>
      </w:r>
    </w:p>
    <w:p>
      <w:pPr>
        <w:shd w:fill="1E1E2E" w:val="clear"/>
      </w:pPr>
      <w:r>
        <w:rPr>
          <w:rFonts w:ascii="Courier New" w:cs="Courier New" w:eastAsia="Courier New" w:hAnsi="Courier New"/>
          <w:color w:val="DCDCAA"/>
          <w:sz w:val="18"/>
          <w:szCs w:val="18"/>
        </w:rPr>
        <w:t xml:space="preserve">  uint256 public constant MAX_SUPPLY = 1_000_000_000 * 10**18;</w:t>
      </w:r>
    </w:p>
    <w:p>
      <w:pPr>
        <w:shd w:fill="1E1E2E" w:val="clear"/>
      </w:pPr>
      <w:r>
        <w:rPr>
          <w:rFonts w:ascii="Courier New" w:cs="Courier New" w:eastAsia="Courier New" w:hAnsi="Courier New"/>
          <w:color w:val="DCDCAA"/>
          <w:sz w:val="18"/>
          <w:szCs w:val="18"/>
        </w:rPr>
        <w:t xml:space="preserve">  uint256 public constant MAX_TX_AMOUNT = 5_000_000 * 10**18; // Anti-whale: 0.5%</w:t>
      </w:r>
    </w:p>
    <w:p>
      <w:pPr>
        <w:shd w:fill="1E1E2E" w:val="clear"/>
      </w:pPr>
      <w:r>
        <w:rPr>
          <w:rFonts w:ascii="Courier New" w:cs="Courier New" w:eastAsia="Courier New" w:hAnsi="Courier New"/>
          <w:color w:val="DCDCAA"/>
          <w:sz w:val="18"/>
          <w:szCs w:val="18"/>
        </w:rPr>
        <w:t xml:space="preserve">  uint256 public constant MAX_WALLET = 10_000_000 * 10**18; // Max wallet: 1%</w:t>
      </w:r>
    </w:p>
    <w:p>
      <w:pPr>
        <w:shd w:fill="1E1E2E" w:val="clear"/>
      </w:pPr>
      <w:r>
        <w:rPr>
          <w:rFonts w:ascii="Courier New" w:cs="Courier New" w:eastAsia="Courier New" w:hAnsi="Courier New"/>
          <w:color w:val="DCDCAA"/>
          <w:sz w:val="18"/>
          <w:szCs w:val="18"/>
        </w:rPr>
        <w:t xml:space="preserve">  uint256 public burnFeeBps = 100; // 1% burn on transfers</w:t>
      </w:r>
    </w:p>
    <w:p>
      <w:pPr>
        <w:shd w:fill="1E1E2E" w:val="clear"/>
      </w:pPr>
      <w:r>
        <w:rPr>
          <w:rFonts w:ascii="Courier New" w:cs="Courier New" w:eastAsia="Courier New" w:hAnsi="Courier New"/>
          <w:color w:val="DCDCAA"/>
          <w:sz w:val="18"/>
          <w:szCs w:val="18"/>
        </w:rPr>
        <w:t xml:space="preserve">  address public constant DEAD = 0x000000000000000000000000000000000000dEaD;</w:t>
      </w:r>
    </w:p>
    <w:p>
      <w:pPr>
        <w:shd w:fill="1E1E2E" w:val="clear"/>
      </w:pPr>
      <w:r>
        <w:rPr>
          <w:rFonts w:ascii="Courier New" w:cs="Courier New" w:eastAsia="Courier New" w:hAnsi="Courier New"/>
          <w:color w:val="DCDCAA"/>
          <w:sz w:val="18"/>
          <w:szCs w:val="18"/>
        </w:rPr>
        <w:t xml:space="preserve">  mapping(address =&gt; bool) public isExcludedFromFee;</w:t>
      </w:r>
    </w:p>
    <w:p>
      <w:pPr>
        <w:shd w:fill="1E1E2E" w:val="clear"/>
      </w:pPr>
      <w:r>
        <w:rPr>
          <w:rFonts w:ascii="Courier New" w:cs="Courier New" w:eastAsia="Courier New" w:hAnsi="Courier New"/>
          <w:color w:val="DCDCAA"/>
          <w:sz w:val="18"/>
          <w:szCs w:val="18"/>
        </w:rPr>
        <w:t xml:space="preserve">  mapping(address =&gt; bool) public isBlacklisted;</w:t>
      </w:r>
    </w:p>
    <w:p>
      <w:pPr>
        <w:shd w:fill="1E1E2E" w:val="clear"/>
      </w:pPr>
      <w:r>
        <w:rPr>
          <w:rFonts w:ascii="Courier New" w:cs="Courier New" w:eastAsia="Courier New" w:hAnsi="Courier New"/>
          <w:color w:val="569CD6"/>
          <w:sz w:val="18"/>
          <w:szCs w:val="18"/>
        </w:rPr>
        <w:t xml:space="preserve">  event Burn(address indexed from, uint256 amount);</w:t>
      </w:r>
    </w:p>
    <w:p>
      <w:pPr>
        <w:shd w:fill="1E1E2E" w:val="clear"/>
      </w:pPr>
      <w:r>
        <w:rPr>
          <w:rFonts w:ascii="Courier New" w:cs="Courier New" w:eastAsia="Courier New" w:hAnsi="Courier New"/>
          <w:color w:val="4EC9B0"/>
          <w:sz w:val="18"/>
          <w:szCs w:val="18"/>
        </w:rPr>
        <w:t xml:space="preserve">}</w:t>
      </w:r>
    </w:p>
    <w:p>
      <w:pPr>
        <w:spacing w:after="80" w:before="80"/>
        <w:jc w:val="both"/>
      </w:pPr>
      <w:r>
        <w:rPr>
          <w:rFonts w:ascii="Arial" w:cs="Arial" w:eastAsia="Arial" w:hAnsi="Arial"/>
          <w:b w:val="false"/>
          <w:bCs w:val="false"/>
          <w:i/>
          <w:iCs/>
          <w:color w:val="4A4A4A"/>
          <w:sz w:val="22"/>
          <w:szCs w:val="22"/>
        </w:rPr>
        <w:t xml:space="preserve">Full contract source code, deployment scripts, test suite, and verification artifacts will be published at: https://github.com/hhdcoin/contracts</w:t>
      </w:r>
    </w:p>
    <w:p>
      <w:pPr>
        <w:pStyle w:val="Heading2"/>
        <w:spacing w:after="140" w:before="300"/>
      </w:pPr>
      <w:r>
        <w:rPr>
          <w:rFonts w:ascii="Arial" w:cs="Arial" w:eastAsia="Arial" w:hAnsi="Arial"/>
          <w:b/>
          <w:bCs/>
          <w:color w:val="1A3C6E"/>
          <w:sz w:val="28"/>
          <w:szCs w:val="28"/>
        </w:rPr>
        <w:t xml:space="preserve">10.2 Staking Contract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stake(amount, lockDays)</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Stake HHD tokens for specified lock period</w:t>
            </w:r>
          </w:p>
        </w:tc>
        <w:tc>
          <w:tcPr>
            <w:tcW w:type="dxa" w:w="2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Any holder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unstake(stakeId)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Unstake after lock period ends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Stake owner</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claimRewards(stakeId)</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Claim accumulated staking rewards</w:t>
            </w:r>
          </w:p>
        </w:tc>
        <w:tc>
          <w:tcPr>
            <w:tcW w:type="dxa" w:w="2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Stake owner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emergencyUnstake(stakeId)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Exit with 10% penalty (emergency only)</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Stake owner</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setAPY(tier, bps)</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Update APY rates per tier</w:t>
            </w:r>
          </w:p>
        </w:tc>
        <w:tc>
          <w:tcPr>
            <w:tcW w:type="dxa" w:w="2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Owner (governance)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pauseStaking()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Emergency pause all staking operations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Owner</w:t>
            </w:r>
          </w:p>
        </w:tc>
      </w:tr>
      <w:tr>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calculateRewards(stakeId)</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View pending rewards for a stake</w:t>
            </w:r>
          </w:p>
        </w:tc>
        <w:tc>
          <w:tcPr>
            <w:tcW w:type="dxa" w:w="2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View function</w:t>
            </w:r>
          </w:p>
        </w:tc>
      </w:tr>
    </w:tbl>
    <w:p>
      <w:pPr>
        <w:pStyle w:val="Heading2"/>
        <w:spacing w:after="140" w:before="300"/>
      </w:pPr>
      <w:r>
        <w:rPr>
          <w:rFonts w:ascii="Arial" w:cs="Arial" w:eastAsia="Arial" w:hAnsi="Arial"/>
          <w:b/>
          <w:bCs/>
          <w:color w:val="1A3C6E"/>
          <w:sz w:val="28"/>
          <w:szCs w:val="28"/>
        </w:rPr>
        <w:t xml:space="preserve">10.3 Deployment Guide</w:t>
      </w:r>
    </w:p>
    <w:p>
      <w:pPr>
        <w:pStyle w:val="ListParagraph"/>
        <w:numPr>
          <w:ilvl w:val="0"/>
          <w:numId w:val="3"/>
        </w:numPr>
        <w:spacing w:after="60" w:before="60"/>
      </w:pPr>
      <w:r>
        <w:rPr>
          <w:rFonts w:ascii="Arial" w:cs="Arial" w:eastAsia="Arial" w:hAnsi="Arial"/>
          <w:color w:val="4A4A4A"/>
          <w:sz w:val="22"/>
          <w:szCs w:val="22"/>
        </w:rPr>
        <w:t xml:space="preserve">Environment setup: Install Hardhat, configure BSC mainnet RPC (https://bsc-dataseed.binance.org/)</w:t>
      </w:r>
    </w:p>
    <w:p>
      <w:pPr>
        <w:pStyle w:val="ListParagraph"/>
        <w:numPr>
          <w:ilvl w:val="0"/>
          <w:numId w:val="3"/>
        </w:numPr>
        <w:spacing w:after="60" w:before="60"/>
      </w:pPr>
      <w:r>
        <w:rPr>
          <w:rFonts w:ascii="Arial" w:cs="Arial" w:eastAsia="Arial" w:hAnsi="Arial"/>
          <w:color w:val="4A4A4A"/>
          <w:sz w:val="22"/>
          <w:szCs w:val="22"/>
        </w:rPr>
        <w:t xml:space="preserve">Deploy HHDToken.sol — constructor args: name='HHD Coin', symbol='HHD', multisig address</w:t>
      </w:r>
    </w:p>
    <w:p>
      <w:pPr>
        <w:pStyle w:val="ListParagraph"/>
        <w:numPr>
          <w:ilvl w:val="0"/>
          <w:numId w:val="3"/>
        </w:numPr>
        <w:spacing w:after="60" w:before="60"/>
      </w:pPr>
      <w:r>
        <w:rPr>
          <w:rFonts w:ascii="Arial" w:cs="Arial" w:eastAsia="Arial" w:hAnsi="Arial"/>
          <w:color w:val="4A4A4A"/>
          <w:sz w:val="22"/>
          <w:szCs w:val="22"/>
        </w:rPr>
        <w:t xml:space="preserve">Deploy HHDVesting.sol — pass token address and cliff/schedule arrays</w:t>
      </w:r>
    </w:p>
    <w:p>
      <w:pPr>
        <w:pStyle w:val="ListParagraph"/>
        <w:numPr>
          <w:ilvl w:val="0"/>
          <w:numId w:val="3"/>
        </w:numPr>
        <w:spacing w:after="60" w:before="60"/>
      </w:pPr>
      <w:r>
        <w:rPr>
          <w:rFonts w:ascii="Arial" w:cs="Arial" w:eastAsia="Arial" w:hAnsi="Arial"/>
          <w:color w:val="4A4A4A"/>
          <w:sz w:val="22"/>
          <w:szCs w:val="22"/>
        </w:rPr>
        <w:t xml:space="preserve">Deploy HHDStaking.sol — pass token address and rewards pool address</w:t>
      </w:r>
    </w:p>
    <w:p>
      <w:pPr>
        <w:pStyle w:val="ListParagraph"/>
        <w:numPr>
          <w:ilvl w:val="0"/>
          <w:numId w:val="3"/>
        </w:numPr>
        <w:spacing w:after="60" w:before="60"/>
      </w:pPr>
      <w:r>
        <w:rPr>
          <w:rFonts w:ascii="Arial" w:cs="Arial" w:eastAsia="Arial" w:hAnsi="Arial"/>
          <w:color w:val="4A4A4A"/>
          <w:sz w:val="22"/>
          <w:szCs w:val="22"/>
        </w:rPr>
        <w:t xml:space="preserve">Deploy HHDGovernance.sol — pass token address and timelock address</w:t>
      </w:r>
    </w:p>
    <w:p>
      <w:pPr>
        <w:pStyle w:val="ListParagraph"/>
        <w:numPr>
          <w:ilvl w:val="0"/>
          <w:numId w:val="3"/>
        </w:numPr>
        <w:spacing w:after="60" w:before="60"/>
      </w:pPr>
      <w:r>
        <w:rPr>
          <w:rFonts w:ascii="Arial" w:cs="Arial" w:eastAsia="Arial" w:hAnsi="Arial"/>
          <w:color w:val="4A4A4A"/>
          <w:sz w:val="22"/>
          <w:szCs w:val="22"/>
        </w:rPr>
        <w:t xml:space="preserve">Deploy HHDTreasury.sol — configure 5/9 multisig signers</w:t>
      </w:r>
    </w:p>
    <w:p>
      <w:pPr>
        <w:pStyle w:val="ListParagraph"/>
        <w:numPr>
          <w:ilvl w:val="0"/>
          <w:numId w:val="3"/>
        </w:numPr>
        <w:spacing w:after="60" w:before="60"/>
      </w:pPr>
      <w:r>
        <w:rPr>
          <w:rFonts w:ascii="Arial" w:cs="Arial" w:eastAsia="Arial" w:hAnsi="Arial"/>
          <w:color w:val="4A4A4A"/>
          <w:sz w:val="22"/>
          <w:szCs w:val="22"/>
        </w:rPr>
        <w:t xml:space="preserve">Transfer initial supply allocations according to tokenomics schedule</w:t>
      </w:r>
    </w:p>
    <w:p>
      <w:pPr>
        <w:pStyle w:val="ListParagraph"/>
        <w:numPr>
          <w:ilvl w:val="0"/>
          <w:numId w:val="3"/>
        </w:numPr>
        <w:spacing w:after="60" w:before="60"/>
      </w:pPr>
      <w:r>
        <w:rPr>
          <w:rFonts w:ascii="Arial" w:cs="Arial" w:eastAsia="Arial" w:hAnsi="Arial"/>
          <w:color w:val="4A4A4A"/>
          <w:sz w:val="22"/>
          <w:szCs w:val="22"/>
        </w:rPr>
        <w:t xml:space="preserve">Verify all contracts on BscScan and Etherscan (wHHD bridge contract)</w:t>
      </w:r>
    </w:p>
    <w:p>
      <w:pPr>
        <w:pStyle w:val="ListParagraph"/>
        <w:numPr>
          <w:ilvl w:val="0"/>
          <w:numId w:val="3"/>
        </w:numPr>
        <w:spacing w:after="60" w:before="60"/>
      </w:pPr>
      <w:r>
        <w:rPr>
          <w:rFonts w:ascii="Arial" w:cs="Arial" w:eastAsia="Arial" w:hAnsi="Arial"/>
          <w:color w:val="4A4A4A"/>
          <w:sz w:val="22"/>
          <w:szCs w:val="22"/>
        </w:rPr>
        <w:t xml:space="preserve">Submit for CertiK audit — provide all source code, tests, and documentation</w:t>
      </w:r>
    </w:p>
    <w:p>
      <w:pPr>
        <w:pStyle w:val="ListParagraph"/>
        <w:numPr>
          <w:ilvl w:val="0"/>
          <w:numId w:val="3"/>
        </w:numPr>
        <w:spacing w:after="60" w:before="60"/>
      </w:pPr>
      <w:r>
        <w:rPr>
          <w:rFonts w:ascii="Arial" w:cs="Arial" w:eastAsia="Arial" w:hAnsi="Arial"/>
          <w:color w:val="4A4A4A"/>
          <w:sz w:val="22"/>
          <w:szCs w:val="22"/>
        </w:rPr>
        <w:t xml:space="preserve">Publish verification artifacts and audit report on project GitHub</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XI: WEB3 MARKETING STRATEGY (24 MONTHS)</w:t>
      </w:r>
    </w:p>
    <w:p>
      <w:pPr>
        <w:pStyle w:val="Heading2"/>
        <w:spacing w:after="140" w:before="300"/>
      </w:pPr>
      <w:r>
        <w:rPr>
          <w:rFonts w:ascii="Arial" w:cs="Arial" w:eastAsia="Arial" w:hAnsi="Arial"/>
          <w:b/>
          <w:bCs/>
          <w:color w:val="1A3C6E"/>
          <w:sz w:val="28"/>
          <w:szCs w:val="28"/>
        </w:rPr>
        <w:t xml:space="preserve">11.1 Social Media Platform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200"/>
        <w:gridCol w:w="1800"/>
        <w:gridCol w:w="2260"/>
      </w:tblGrid>
      <w:tr>
        <w:trPr>
          <w:tblHeader/>
        </w:trPr>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Focus</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Posting Frequency</w:t>
            </w:r>
          </w:p>
        </w:tc>
        <w:tc>
          <w:tcPr>
            <w:tcW w:type="dxa" w:w="2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(Month 24)</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X (Twitter)</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Crypto community, VCs, degens</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Updates, alpha, thought leadership</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3–5 posts/day</w:t>
            </w:r>
          </w:p>
        </w:tc>
        <w:tc>
          <w:tcPr>
            <w:tcW w:type="dxa" w:w="2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150K followers, 2% engagement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Telegram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Community, investors, traders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Announcements, AMA, support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5–10 msgs/day</w:t>
            </w:r>
          </w:p>
        </w:tc>
        <w:tc>
          <w:tcPr>
            <w:tcW w:type="dxa" w:w="2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200K members</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Discord</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Developers, power users</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Tech discussion, governance, dev support</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Active 24/7</w:t>
            </w:r>
          </w:p>
        </w:tc>
        <w:tc>
          <w:tcPr>
            <w:tcW w:type="dxa" w:w="2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50K members, active governance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Reddit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Crypto-curious, researchers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Educational content, AMA</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Daily posts + comments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30K subscribers r/HHDCoin</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Medium</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Institutional, educated investors</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Deep-dive articles, research</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2–3 posts/week</w:t>
            </w:r>
          </w:p>
        </w:tc>
        <w:tc>
          <w:tcPr>
            <w:tcW w:type="dxa" w:w="2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25K followers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YouTube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Vietnamese &amp; global audience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Tutorials, AMAs, market analysis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 videos/week</w:t>
            </w:r>
          </w:p>
        </w:tc>
        <w:tc>
          <w:tcPr>
            <w:tcW w:type="dxa" w:w="2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50K subscribers</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LinkedIn</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Academic, institutional, VCs</w:t>
            </w:r>
          </w:p>
        </w:tc>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Research highlights, team updates</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Daily posts</w:t>
            </w:r>
          </w:p>
        </w:tc>
        <w:tc>
          <w:tcPr>
            <w:tcW w:type="dxa" w:w="2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20K followers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TikTok/Reels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Vietnamese youth, SEA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Short-form education, crypto 101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Daily videos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100K followers</w:t>
            </w:r>
          </w:p>
        </w:tc>
      </w:tr>
    </w:tbl>
    <w:p>
      <w:r>
        <w:t xml:space="preserve"/>
      </w:r>
    </w:p>
    <w:p>
      <w:pPr>
        <w:pStyle w:val="Heading2"/>
        <w:spacing w:after="140" w:before="300"/>
      </w:pPr>
      <w:r>
        <w:rPr>
          <w:rFonts w:ascii="Arial" w:cs="Arial" w:eastAsia="Arial" w:hAnsi="Arial"/>
          <w:b/>
          <w:bCs/>
          <w:color w:val="1A3C6E"/>
          <w:sz w:val="28"/>
          <w:szCs w:val="28"/>
        </w:rPr>
        <w:t xml:space="preserve">11.2 24-Month Marketing Calendar</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000"/>
        <w:gridCol w:w="1900"/>
        <w:gridCol w:w="306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c>
          <w:tcPr>
            <w:tcW w:type="dxa" w:w="1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Budget Allocation</w:t>
            </w:r>
          </w:p>
        </w:tc>
        <w:tc>
          <w:tcPr>
            <w:tcW w:type="dxa" w:w="3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Activities</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Phase 1: Launch</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M1–M3</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Brand awareness, whitepaper, community seed</w:t>
            </w:r>
          </w:p>
        </w:tc>
        <w:tc>
          <w:tcPr>
            <w:tcW w:type="dxa" w:w="1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15% marketing budget</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Whitepaper release, social launch, influencer seeding, AMAs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Phase 2: Seed &amp; Private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M4–M6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Investor outreach, credibility building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 budget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VC roadshow, thought leadership, academic conferences</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Phase 3: Public Sale</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M7–M9</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FOMO creation, community growth</w:t>
            </w:r>
          </w:p>
        </w:tc>
        <w:tc>
          <w:tcPr>
            <w:tcW w:type="dxa" w:w="1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25% budget</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KOL campaigns, paid promotion, viral content, airdrops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Phase 4: DEX Launch</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M10–M12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Trading volume, holder growth</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20% budget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PancakeSwap launch event, trading competitions, liquidity mining</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Phase 5: CEX Push</w:t>
            </w:r>
          </w:p>
        </w:tc>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M13–M18</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Exchange listing momentum</w:t>
            </w:r>
          </w:p>
        </w:tc>
        <w:tc>
          <w:tcPr>
            <w:tcW w:type="dxa" w:w="1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20% budget</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Exchange community campaigns, market making, holder incentives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Phase 6: Ecosystem</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M19–M24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dApp usage, ecosystem growth</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 budget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Developer hackathons, university partnerships, grant programs</w:t>
            </w:r>
          </w:p>
        </w:tc>
      </w:tr>
    </w:tbl>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XII: VENTURE CAPITAL STRATEGY</w:t>
      </w:r>
    </w:p>
    <w:p>
      <w:pPr>
        <w:pStyle w:val="Heading2"/>
        <w:spacing w:after="140" w:before="300"/>
      </w:pPr>
      <w:r>
        <w:rPr>
          <w:rFonts w:ascii="Arial" w:cs="Arial" w:eastAsia="Arial" w:hAnsi="Arial"/>
          <w:b/>
          <w:bCs/>
          <w:color w:val="1A3C6E"/>
          <w:sz w:val="28"/>
          <w:szCs w:val="28"/>
        </w:rPr>
        <w:t xml:space="preserve">12.1 Target Investor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00"/>
        <w:gridCol w:w="1700"/>
        <w:gridCol w:w="2860"/>
      </w:tblGrid>
      <w:tr>
        <w:trPr>
          <w:tblHeader/>
        </w:trPr>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Round</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Investor Type</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Ticket Size</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Target</w:t>
            </w:r>
          </w:p>
        </w:tc>
        <w:tc>
          <w:tcPr>
            <w:tcW w:type="dxa" w:w="2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Value-Add</w:t>
            </w:r>
          </w:p>
        </w:tc>
      </w:tr>
      <w:tr>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Angel</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Individual angels, founder network</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$5K–$25K</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$100K</w:t>
            </w:r>
          </w:p>
        </w:tc>
        <w:tc>
          <w:tcPr>
            <w:tcW w:type="dxa" w:w="2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Network, early credibility</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Seed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Crypto VCs, angels, family offices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$50K–$200K</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$500K</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Network, co-investors, advisory</w:t>
            </w:r>
          </w:p>
        </w:tc>
      </w:tr>
      <w:tr>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Private A</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Tier-2 crypto VCs, strategic</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$200K–$500K</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$1M</w:t>
            </w:r>
          </w:p>
        </w:tc>
        <w:tc>
          <w:tcPr>
            <w:tcW w:type="dxa" w:w="2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Exchange connections, marketing</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Private 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Tier-1 crypto VCs, institutional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$500K+</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$2M</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Board-level advisory, major exchange intro</w:t>
            </w:r>
          </w:p>
        </w:tc>
      </w:tr>
      <w:tr>
        <w:tc>
          <w:tcPr>
            <w:tcW w:type="dxa" w:w="1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Strategic</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Exchanges, ecosystem funds, corporates</w:t>
            </w:r>
          </w:p>
        </w:tc>
        <w:tc>
          <w:tcPr>
            <w:tcW w:type="dxa" w:w="1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$500K–$5M</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$5M</w:t>
            </w:r>
          </w:p>
        </w:tc>
        <w:tc>
          <w:tcPr>
            <w:tcW w:type="dxa" w:w="28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Listing commitment, ecosystem integration</w:t>
            </w:r>
          </w:p>
        </w:tc>
      </w:tr>
    </w:tbl>
    <w:p>
      <w:r>
        <w:t xml:space="preserve"/>
      </w:r>
    </w:p>
    <w:p>
      <w:pPr>
        <w:pStyle w:val="Heading2"/>
        <w:spacing w:after="140" w:before="300"/>
      </w:pPr>
      <w:r>
        <w:rPr>
          <w:rFonts w:ascii="Arial" w:cs="Arial" w:eastAsia="Arial" w:hAnsi="Arial"/>
          <w:b/>
          <w:bCs/>
          <w:color w:val="1A3C6E"/>
          <w:sz w:val="28"/>
          <w:szCs w:val="28"/>
        </w:rPr>
        <w:t xml:space="preserve">12.2 Priority Investor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000"/>
        <w:gridCol w:w="2000"/>
        <w:gridCol w:w="1960"/>
      </w:tblGrid>
      <w:tr>
        <w:trPr>
          <w:tblHeader/>
        </w:trPr>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VC / Fund</w:t>
            </w:r>
          </w:p>
        </w:tc>
        <w:tc>
          <w:tcPr>
            <w:tcW w:type="dxa" w:w="1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Portfolio Relevance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Contact Strategy</w:t>
            </w:r>
          </w:p>
        </w:tc>
        <w:tc>
          <w:tcPr>
            <w:tcW w:type="dxa" w:w="1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Ask</w:t>
            </w:r>
          </w:p>
        </w:tc>
      </w:tr>
      <w:tr>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Binance Labs</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BSC ecosystem, EdTech, Web3</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Direct BSC + Binance listing pathway</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BNB Chain grant application</w:t>
            </w:r>
          </w:p>
        </w:tc>
        <w:tc>
          <w:tcPr>
            <w:tcW w:type="dxa" w:w="1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$500K–$2M + Launchpad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Coinbase Ventures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Compliance-first, utility tokens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Coinbase listing pathway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Direct application via website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$500K–$1M + co-marketing</w:t>
            </w:r>
          </w:p>
        </w:tc>
      </w:tr>
      <w:tr>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Animoca Brands</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GameFi, EdTech, NFT utility</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Credential NFT fit</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Singapore office introduction</w:t>
            </w:r>
          </w:p>
        </w:tc>
        <w:tc>
          <w:tcPr>
            <w:tcW w:type="dxa" w:w="1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$1M–$3M + ecosystem</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a16z Crypto</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Infrastructure, governance tokens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DAO governance, research focus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Cold outreach + academic channel</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$2M–$5M + brand</w:t>
            </w:r>
          </w:p>
        </w:tc>
      </w:tr>
      <w:tr>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Pantera Capital</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DeFi, utility tokens, SEA focus</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Vietnam + SEA market expertise</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Conference networking</w:t>
            </w:r>
          </w:p>
        </w:tc>
        <w:tc>
          <w:tcPr>
            <w:tcW w:type="dxa" w:w="1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$1M–$2M + network</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Multicoin Capital</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Token economics, utility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Tokenomics-forward approach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Twitter/direct outreach</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$500K–$1.5M</w:t>
            </w:r>
          </w:p>
        </w:tc>
      </w:tr>
      <w:tr>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Spartan Group</w:t>
            </w:r>
          </w:p>
        </w:tc>
        <w:tc>
          <w:tcPr>
            <w:tcW w:type="dxa" w:w="17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APAC crypto, BSC ecosystem</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BSC + SEA regional focus</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Singapore HQ introduction</w:t>
            </w:r>
          </w:p>
        </w:tc>
        <w:tc>
          <w:tcPr>
            <w:tcW w:type="dxa" w:w="19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$500K–$1M + advisory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HashKey Capital</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Asia-focused, regulated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Hong Kong/Asia regulatory expertise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HK office outreach</w:t>
            </w:r>
          </w:p>
        </w:tc>
        <w:tc>
          <w:tcPr>
            <w:tcW w:type="dxa" w:w="1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$1M–$3M + compliance</w:t>
            </w:r>
          </w:p>
        </w:tc>
      </w:tr>
    </w:tbl>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XIII: FINANCIAL PROJECTIONS (5-YEAR)</w:t>
      </w:r>
    </w:p>
    <w:p>
      <w:pPr>
        <w:pStyle w:val="Heading2"/>
        <w:spacing w:after="140" w:before="300"/>
      </w:pPr>
      <w:r>
        <w:rPr>
          <w:rFonts w:ascii="Arial" w:cs="Arial" w:eastAsia="Arial" w:hAnsi="Arial"/>
          <w:b/>
          <w:bCs/>
          <w:color w:val="1A3C6E"/>
          <w:sz w:val="28"/>
          <w:szCs w:val="28"/>
        </w:rPr>
        <w:t xml:space="preserve">13.1 Market Cap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 / Year</w:t>
            </w:r>
          </w:p>
        </w:tc>
        <w:tc>
          <w:tcPr>
            <w:tcW w:type="dxa" w:w="131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2026</w:t>
            </w:r>
          </w:p>
        </w:tc>
        <w:tc>
          <w:tcPr>
            <w:tcW w:type="dxa" w:w="131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2027</w:t>
            </w:r>
          </w:p>
        </w:tc>
        <w:tc>
          <w:tcPr>
            <w:tcW w:type="dxa" w:w="131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2028</w:t>
            </w:r>
          </w:p>
        </w:tc>
        <w:tc>
          <w:tcPr>
            <w:tcW w:type="dxa" w:w="131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2029</w:t>
            </w:r>
          </w:p>
        </w:tc>
        <w:tc>
          <w:tcPr>
            <w:tcW w:type="dxa" w:w="131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2030</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CONSERVATIVE Market Cap</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$5M</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$15M</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$50M</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$100M</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$200M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CONSERVATIVE FDV</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$10M</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$30M</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$80M</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$150M</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$300M</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CONSERVATIVE Token Price</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$0.005</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$0.015</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$0.05</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$0.10</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$0.20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BASE CASE Market Cap</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$20M</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$60M</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$200M</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$400M</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$800M</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BASE CASE FDV</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$40M</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$100M</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$300M</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$600M</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$1.2B</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BASE CASE Token Price</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$0.020</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$0.060</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$0.20</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$0.40</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$0.80</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BULL CASE Market Cap</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$50M</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$200M</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$600M</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$1.5B</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$3B</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BULL CASE FDV</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$100M</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$400M</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$1B</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$2.5B</w:t>
            </w:r>
          </w:p>
        </w:tc>
        <w:tc>
          <w:tcPr>
            <w:tcW w:type="dxa" w:w="13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$5B</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BULL CASE Token Price</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$0.05</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$0.20</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$0.60</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$1.50</w:t>
            </w:r>
          </w:p>
        </w:tc>
        <w:tc>
          <w:tcPr>
            <w:tcW w:type="dxa" w:w="13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$3.00</w:t>
            </w:r>
          </w:p>
        </w:tc>
      </w:tr>
    </w:tbl>
    <w:p>
      <w:r>
        <w:t xml:space="preserve"/>
      </w:r>
    </w:p>
    <w:p>
      <w:pPr>
        <w:pStyle w:val="Heading2"/>
        <w:spacing w:after="140" w:before="300"/>
      </w:pPr>
      <w:r>
        <w:rPr>
          <w:rFonts w:ascii="Arial" w:cs="Arial" w:eastAsia="Arial" w:hAnsi="Arial"/>
          <w:b/>
          <w:bCs/>
          <w:color w:val="1A3C6E"/>
          <w:sz w:val="28"/>
          <w:szCs w:val="28"/>
        </w:rPr>
        <w:t xml:space="preserve">13.2 Revenue Projections (USD)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112"/>
        <w:gridCol w:w="1112"/>
        <w:gridCol w:w="1112"/>
        <w:gridCol w:w="1112"/>
        <w:gridCol w:w="1112"/>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Stream</w:t>
            </w:r>
          </w:p>
        </w:tc>
        <w:tc>
          <w:tcPr>
            <w:tcW w:type="dxa" w:w="111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2026</w:t>
            </w:r>
          </w:p>
        </w:tc>
        <w:tc>
          <w:tcPr>
            <w:tcW w:type="dxa" w:w="111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2027</w:t>
            </w:r>
          </w:p>
        </w:tc>
        <w:tc>
          <w:tcPr>
            <w:tcW w:type="dxa" w:w="111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2028</w:t>
            </w:r>
          </w:p>
        </w:tc>
        <w:tc>
          <w:tcPr>
            <w:tcW w:type="dxa" w:w="111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2029</w:t>
            </w:r>
          </w:p>
        </w:tc>
        <w:tc>
          <w:tcPr>
            <w:tcW w:type="dxa" w:w="111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2030</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Platform Transaction Fees (2%)</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$50K</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$300K</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$1.5M</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$5M</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$15M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Staking Fee Revenue (0.5%)</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$20K</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$150K</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$800K</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$3M</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$10M</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NFT Credential Minting</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$5K</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$50K</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$300K</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$1M</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$4M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Launchpad Commission (5%)</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$100K</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$500K</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$2M</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$8M</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HHDAI API Subscriptions</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$10K</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$80K</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$400K</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$1.5M</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B2B Enterprise Licenses</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$0</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$50K</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$500K</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$2M</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$8M</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Treasury Yield (DeFi)</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$10K</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$100K</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$500K</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$2M</w:t>
            </w:r>
          </w:p>
        </w:tc>
        <w:tc>
          <w:tcPr>
            <w:tcW w:type="dxa" w:w="1112"/>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$7M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TOTAL REVENUE</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$95K</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$830K</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$4.5M</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$16.5M</w:t>
            </w:r>
          </w:p>
        </w:tc>
        <w:tc>
          <w:tcPr>
            <w:tcW w:type="dxa" w:w="11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$57M</w:t>
            </w:r>
          </w:p>
        </w:tc>
      </w:tr>
    </w:tbl>
    <w:p>
      <w:r>
        <w:t xml:space="preserve"/>
      </w:r>
    </w:p>
    <w:p>
      <w:pPr>
        <w:pStyle w:val="Heading2"/>
        <w:spacing w:after="140" w:before="300"/>
      </w:pPr>
      <w:r>
        <w:rPr>
          <w:rFonts w:ascii="Arial" w:cs="Arial" w:eastAsia="Arial" w:hAnsi="Arial"/>
          <w:b/>
          <w:bCs/>
          <w:color w:val="1A3C6E"/>
          <w:sz w:val="28"/>
          <w:szCs w:val="28"/>
        </w:rPr>
        <w:t xml:space="preserve">13.3 Treasury Projections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900"/>
        <w:gridCol w:w="1900"/>
        <w:gridCol w:w="1800"/>
        <w:gridCol w:w="3060"/>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Opening Balance</w:t>
            </w:r>
          </w:p>
        </w:tc>
        <w:tc>
          <w:tcPr>
            <w:tcW w:type="dxa" w:w="1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Inflows</w:t>
            </w:r>
          </w:p>
        </w:tc>
        <w:tc>
          <w:tcPr>
            <w:tcW w:type="dxa" w:w="1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Outflows</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Closing Balance</w:t>
            </w:r>
          </w:p>
        </w:tc>
        <w:tc>
          <w:tcPr>
            <w:tcW w:type="dxa" w:w="3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2026</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$0</w:t>
            </w:r>
          </w:p>
        </w:tc>
        <w:tc>
          <w:tcPr>
            <w:tcW w:type="dxa" w:w="1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$3.6M (fundraise)</w:t>
            </w:r>
          </w:p>
        </w:tc>
        <w:tc>
          <w:tcPr>
            <w:tcW w:type="dxa" w:w="1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$1.2M (opex)</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$2.4M</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Foundation established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2027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$2.4M</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$800K (revenue)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$1.5M (opex)</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$1.7M</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Growth phase</w:t>
            </w:r>
          </w:p>
        </w:tc>
      </w:tr>
      <w:tr>
        <w:tc>
          <w:tcPr>
            <w:tcW w:type="dxa" w:w="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2028</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$1.7M</w:t>
            </w:r>
          </w:p>
        </w:tc>
        <w:tc>
          <w:tcPr>
            <w:tcW w:type="dxa" w:w="1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$4.5M (revenue)</w:t>
            </w:r>
          </w:p>
        </w:tc>
        <w:tc>
          <w:tcPr>
            <w:tcW w:type="dxa" w:w="1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$3M (opex + marketing)</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$3.2M</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Exchange listings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color w:val="4A4A4A"/>
                <w:sz w:val="20"/>
                <w:szCs w:val="20"/>
              </w:rPr>
              <w:t xml:space="preserve">2029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$3.2M</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$16.5M</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$8M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$11.7M</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Global expansion</w:t>
            </w:r>
          </w:p>
        </w:tc>
      </w:tr>
      <w:tr>
        <w:tc>
          <w:tcPr>
            <w:tcW w:type="dxa" w:w="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center"/>
            </w:pPr>
            <w:r>
              <w:rPr>
                <w:rFonts w:ascii="Arial" w:cs="Arial" w:eastAsia="Arial" w:hAnsi="Arial"/>
                <w:color w:val="4A4A4A"/>
                <w:sz w:val="20"/>
                <w:szCs w:val="20"/>
              </w:rPr>
              <w:t xml:space="preserve">2030</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$11.7M</w:t>
            </w:r>
          </w:p>
        </w:tc>
        <w:tc>
          <w:tcPr>
            <w:tcW w:type="dxa" w:w="1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$57M</w:t>
            </w:r>
          </w:p>
        </w:tc>
        <w:tc>
          <w:tcPr>
            <w:tcW w:type="dxa" w:w="19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$25M</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$43.7M</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Treasury target</w:t>
            </w:r>
          </w:p>
        </w:tc>
      </w:tr>
    </w:tbl>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XIV: LEGAL RISK ANALYSIS &amp; COMPLIANCE</w:t>
      </w:r>
    </w:p>
    <w:p>
      <w:pPr>
        <w:pStyle w:val="Heading2"/>
        <w:spacing w:after="140" w:before="300"/>
      </w:pPr>
      <w:r>
        <w:rPr>
          <w:rFonts w:ascii="Arial" w:cs="Arial" w:eastAsia="Arial" w:hAnsi="Arial"/>
          <w:b/>
          <w:bCs/>
          <w:color w:val="1A3C6E"/>
          <w:sz w:val="28"/>
          <w:szCs w:val="28"/>
        </w:rPr>
        <w:t xml:space="preserve">14.1 Jurisdictional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2000"/>
        <w:gridCol w:w="1000"/>
        <w:gridCol w:w="216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Jurisdiction</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Regulatory Body</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HHD Status</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Requirement</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Required</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United States</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SEC / CFTC / FinCEN</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Utility token (non-security)</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Howey Test compliance, no US marketing</w:t>
            </w:r>
          </w:p>
        </w:tc>
        <w:tc>
          <w:tcPr>
            <w:tcW w:type="dxa" w:w="1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Medium-High</w:t>
            </w:r>
          </w:p>
        </w:tc>
        <w:tc>
          <w:tcPr>
            <w:tcW w:type="dxa" w:w="2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Cayman Islands foundation, legal opinion, geo-block US IPs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European Union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MiCA (2024)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Utility/Asset-Referenced Token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MiCA white paper filing, AML/KYC</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Appoint EU crypto-asset service provider, MiCA registration</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Singapore</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MAS / PSA</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Digital Payment Token</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PSA license (if exchange), MAS guidance</w:t>
            </w:r>
          </w:p>
        </w:tc>
        <w:tc>
          <w:tcPr>
            <w:tcW w:type="dxa" w:w="1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Low-Medium</w:t>
            </w:r>
          </w:p>
        </w:tc>
        <w:tc>
          <w:tcPr>
            <w:tcW w:type="dxa" w:w="2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Singapore Pte Ltd for operations, MAS pre-consultation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UAE / DIFC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VARA / DFSA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Utility Token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VARA registration for marketing/trading</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Dubai entity registration, VARA notification</w:t>
            </w:r>
          </w:p>
        </w:tc>
      </w:tr>
      <w:tr>
        <w:tc>
          <w:tcPr>
            <w:tcW w:type="dxa" w:w="1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Hong Kong</w:t>
            </w:r>
          </w:p>
        </w:tc>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SFC / HKMA</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Virtual Asset</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VA-Service Provider license if required</w:t>
            </w:r>
          </w:p>
        </w:tc>
        <w:tc>
          <w:tcPr>
            <w:tcW w:type="dxa" w:w="1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Low-Medium</w:t>
            </w:r>
          </w:p>
        </w:tc>
        <w:tc>
          <w:tcPr>
            <w:tcW w:type="dxa" w:w="21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HK company registration, SFC monitoring</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Vietnam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NHNN / BKHCN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Digital Asset (unregulated)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Sandbox participation, Decree 94 compliance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VIU institutional backing, Sandbox application, BKHCN registration</w:t>
            </w:r>
          </w:p>
        </w:tc>
      </w:tr>
    </w:tbl>
    <w:p>
      <w:r>
        <w:t xml:space="preserve"/>
      </w:r>
    </w:p>
    <w:p>
      <w:pPr>
        <w:pStyle w:val="Heading2"/>
        <w:spacing w:after="140" w:before="300"/>
      </w:pPr>
      <w:r>
        <w:rPr>
          <w:rFonts w:ascii="Arial" w:cs="Arial" w:eastAsia="Arial" w:hAnsi="Arial"/>
          <w:b/>
          <w:bCs/>
          <w:color w:val="1A3C6E"/>
          <w:sz w:val="28"/>
          <w:szCs w:val="28"/>
        </w:rPr>
        <w:t xml:space="preserve">14.2 Recommended Legal Structure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500"/>
        <w:gridCol w:w="12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Jurisdiction</w:t>
            </w:r>
          </w:p>
        </w:tc>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12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Foundation Ltd.</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Cayman Islands</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Token issuer, IP holder, international operations</w:t>
            </w:r>
          </w:p>
        </w:tc>
        <w:tc>
          <w:tcPr>
            <w:tcW w:type="dxa" w:w="1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Q1 2026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Technology Pte. Ltd.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Singapore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Development, exchanges, APAC marketing</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Q2 2026</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HHDCoin Joint Stock Company
(Công ty Cổ phần HHDCoin)</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Vietnam</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Local operations, brand &amp; IP origination, university partnerships, government relations, corporate seal &amp; legal entity for VN market</w:t>
            </w:r>
          </w:p>
        </w:tc>
        <w:tc>
          <w:tcPr>
            <w:tcW w:type="dxa" w:w="1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Q1 2026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MENA FZ-LLC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UAE (IFZA)</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MENA market expansion, VARA compliance</w:t>
            </w:r>
          </w:p>
        </w:tc>
        <w:tc>
          <w:tcPr>
            <w:tcW w:type="dxa" w:w="1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Q3 2027</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Foundation (HK)</w:t>
            </w:r>
          </w:p>
        </w:tc>
        <w:tc>
          <w:tcPr>
            <w:tcW w:type="dxa" w:w="16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Hong Kong</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Asia institutional relations, SFC compliance</w:t>
            </w:r>
          </w:p>
        </w:tc>
        <w:tc>
          <w:tcPr>
            <w:tcW w:type="dxa" w:w="12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Q1 2028</w:t>
            </w:r>
          </w:p>
        </w:tc>
      </w:tr>
    </w:tbl>
    <w:p>
      <w:pPr>
        <w:pStyle w:val="Heading2"/>
        <w:spacing w:after="140" w:before="300"/>
      </w:pPr>
      <w:r>
        <w:rPr>
          <w:rFonts w:ascii="Arial" w:cs="Arial" w:eastAsia="Arial" w:hAnsi="Arial"/>
          <w:b/>
          <w:bCs/>
          <w:color w:val="1A3C6E"/>
          <w:sz w:val="28"/>
          <w:szCs w:val="28"/>
        </w:rPr>
        <w:t xml:space="preserve">14.3 Key Compliance Actions</w:t>
      </w:r>
    </w:p>
    <w:p>
      <w:pPr>
        <w:pStyle w:val="ListParagraph"/>
        <w:numPr>
          <w:ilvl w:val="0"/>
          <w:numId w:val="2"/>
        </w:numPr>
        <w:spacing w:after="60" w:before="60"/>
      </w:pPr>
      <w:r>
        <w:rPr>
          <w:rFonts w:ascii="Arial" w:cs="Arial" w:eastAsia="Arial" w:hAnsi="Arial"/>
          <w:color w:val="4A4A4A"/>
          <w:sz w:val="22"/>
          <w:szCs w:val="22"/>
        </w:rPr>
        <w:t xml:space="preserve">KYC/AML: Implement Chainalysis + Elliptic blockchain monitoring; Sumsub for user KYC</w:t>
      </w:r>
    </w:p>
    <w:p>
      <w:pPr>
        <w:pStyle w:val="ListParagraph"/>
        <w:numPr>
          <w:ilvl w:val="0"/>
          <w:numId w:val="2"/>
        </w:numPr>
        <w:spacing w:after="60" w:before="60"/>
      </w:pPr>
      <w:r>
        <w:rPr>
          <w:rFonts w:ascii="Arial" w:cs="Arial" w:eastAsia="Arial" w:hAnsi="Arial"/>
          <w:color w:val="4A4A4A"/>
          <w:sz w:val="22"/>
          <w:szCs w:val="22"/>
        </w:rPr>
        <w:t xml:space="preserve">Legal Opinion: Obtain Cayman Islands legal opinion on non-security token classification</w:t>
      </w:r>
    </w:p>
    <w:p>
      <w:pPr>
        <w:pStyle w:val="ListParagraph"/>
        <w:numPr>
          <w:ilvl w:val="0"/>
          <w:numId w:val="2"/>
        </w:numPr>
        <w:spacing w:after="60" w:before="60"/>
      </w:pPr>
      <w:r>
        <w:rPr>
          <w:rFonts w:ascii="Arial" w:cs="Arial" w:eastAsia="Arial" w:hAnsi="Arial"/>
          <w:color w:val="4A4A4A"/>
          <w:sz w:val="22"/>
          <w:szCs w:val="22"/>
        </w:rPr>
        <w:t xml:space="preserve">Privacy: GDPR (EU), PDPA (Singapore/Thailand), PDPD (Vietnam) compliance</w:t>
      </w:r>
    </w:p>
    <w:p>
      <w:pPr>
        <w:pStyle w:val="ListParagraph"/>
        <w:numPr>
          <w:ilvl w:val="0"/>
          <w:numId w:val="2"/>
        </w:numPr>
        <w:spacing w:after="60" w:before="60"/>
      </w:pPr>
      <w:r>
        <w:rPr>
          <w:rFonts w:ascii="Arial" w:cs="Arial" w:eastAsia="Arial" w:hAnsi="Arial"/>
          <w:color w:val="4A4A4A"/>
          <w:sz w:val="22"/>
          <w:szCs w:val="22"/>
        </w:rPr>
        <w:t xml:space="preserve">Tax: Engage Big 4 firm for international tax structure (transfer pricing, VAT, withholding tax)</w:t>
      </w:r>
    </w:p>
    <w:p>
      <w:pPr>
        <w:pStyle w:val="ListParagraph"/>
        <w:numPr>
          <w:ilvl w:val="0"/>
          <w:numId w:val="2"/>
        </w:numPr>
        <w:spacing w:after="60" w:before="60"/>
      </w:pPr>
      <w:r>
        <w:rPr>
          <w:rFonts w:ascii="Arial" w:cs="Arial" w:eastAsia="Arial" w:hAnsi="Arial"/>
          <w:color w:val="4A4A4A"/>
          <w:sz w:val="22"/>
          <w:szCs w:val="22"/>
        </w:rPr>
        <w:t xml:space="preserve">Sanctions: OFAC screening on all participants; geo-blocking of sanctioned jurisdictions</w:t>
      </w:r>
    </w:p>
    <w:p>
      <w:pPr>
        <w:pStyle w:val="ListParagraph"/>
        <w:numPr>
          <w:ilvl w:val="0"/>
          <w:numId w:val="2"/>
        </w:numPr>
        <w:spacing w:after="60" w:before="60"/>
      </w:pPr>
      <w:r>
        <w:rPr>
          <w:rFonts w:ascii="Arial" w:cs="Arial" w:eastAsia="Arial" w:hAnsi="Arial"/>
          <w:color w:val="4A4A4A"/>
          <w:sz w:val="22"/>
          <w:szCs w:val="22"/>
        </w:rPr>
        <w:t xml:space="preserve">Anti-Manipulation: Market surveillance engagement with exchange compliance teams</w:t>
      </w:r>
    </w:p>
    <w:p>
      <w:pPr>
        <w:pStyle w:val="ListParagraph"/>
        <w:numPr>
          <w:ilvl w:val="0"/>
          <w:numId w:val="2"/>
        </w:numPr>
        <w:spacing w:after="60" w:before="60"/>
      </w:pPr>
      <w:r>
        <w:rPr>
          <w:rFonts w:ascii="Arial" w:cs="Arial" w:eastAsia="Arial" w:hAnsi="Arial"/>
          <w:color w:val="4A4A4A"/>
          <w:sz w:val="22"/>
          <w:szCs w:val="22"/>
        </w:rPr>
        <w:t xml:space="preserve">Consumer Protection: Clear risk disclosures, cooling-off periods for retail investors</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XV: BINANCE LISTING — 36-MONTH STRATEGIC PLAN</w:t>
      </w:r>
    </w:p>
    <w:p>
      <w:pPr>
        <w:pStyle w:val="Heading2"/>
        <w:spacing w:after="140" w:before="300"/>
      </w:pPr>
      <w:r>
        <w:rPr>
          <w:rFonts w:ascii="Arial" w:cs="Arial" w:eastAsia="Arial" w:hAnsi="Arial"/>
          <w:b/>
          <w:bCs/>
          <w:color w:val="1A3C6E"/>
          <w:sz w:val="28"/>
          <w:szCs w:val="28"/>
        </w:rPr>
        <w:t xml:space="preserve">Month 1–6: Foundation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Smart Contract Audit (CertiK)</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 critical issues resolved</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Audit report published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Legal Structure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Cayman + Singapore entities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Foundation deed, Singapore cert</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Team KYC</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All core team verified</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Public team page live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Whitepaper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Final version published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Whitepaper v1.0 on website</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Seed + Private Sale</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$970K raised</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Cap table finalized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Community Launch</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10,000+ Twitter followers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Telegram 5,000+ members</w:t>
            </w:r>
          </w:p>
        </w:tc>
      </w:tr>
    </w:tbl>
    <w:p>
      <w:r>
        <w:t xml:space="preserve"/>
      </w:r>
    </w:p>
    <w:p>
      <w:pPr>
        <w:pStyle w:val="Heading2"/>
        <w:spacing w:after="140" w:before="300"/>
      </w:pPr>
      <w:r>
        <w:rPr>
          <w:rFonts w:ascii="Arial" w:cs="Arial" w:eastAsia="Arial" w:hAnsi="Arial"/>
          <w:b/>
          <w:bCs/>
          <w:color w:val="1A3C6E"/>
          <w:sz w:val="28"/>
          <w:szCs w:val="28"/>
        </w:rPr>
        <w:t xml:space="preserve">Month 7–12: Launch &amp; Market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PancakeSwap Listing</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$200K initial liquidity</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$500K+ TVL in 90 days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Public Sale / IEO (MEXC)</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$2M raised, 5,000 holders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IEO oversubscription</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CoinGecko / CMC Listing</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Verified listing within 2 weeks of DEX</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Market cap tracked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100K Community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Combined social 100K</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Organic growth metrics</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Gate.io / BitMart Listing</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$100K+/day volume</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Listing confirmed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dApp v1.0 Launch</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1,000 DAU</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User analytics live</w:t>
            </w:r>
          </w:p>
        </w:tc>
      </w:tr>
    </w:tbl>
    <w:p>
      <w:r>
        <w:t xml:space="preserve"/>
      </w:r>
    </w:p>
    <w:p>
      <w:pPr>
        <w:pStyle w:val="Heading2"/>
        <w:spacing w:after="140" w:before="300"/>
      </w:pPr>
      <w:r>
        <w:rPr>
          <w:rFonts w:ascii="Arial" w:cs="Arial" w:eastAsia="Arial" w:hAnsi="Arial"/>
          <w:b/>
          <w:bCs/>
          <w:color w:val="1A3C6E"/>
          <w:sz w:val="28"/>
          <w:szCs w:val="28"/>
        </w:rPr>
        <w:t xml:space="preserve">Month 13–24: Scale &amp; Tier-2 CEX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KuCoin Listing</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$500K/day volume</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Listing agreement signed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Market Maker Engagement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Wintermute or GSR engaged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Bid-ask spread &lt; 0.3%</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TVL $1M+</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Staking + LP combined</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DeFiLlama tracked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500K Community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All channels combined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Telegram 200K+</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Governance v2.0</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Active DAO proposals</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 passed proposals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Bybit Listing</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$1M/day volume target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Listing confirmed</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Binance Labs Application</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Initial contact + pitch</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Application submitted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PeckShield Audit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Second audit completed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Report published</w:t>
            </w:r>
          </w:p>
        </w:tc>
      </w:tr>
    </w:tbl>
    <w:p>
      <w:r>
        <w:t xml:space="preserve"/>
      </w:r>
    </w:p>
    <w:p>
      <w:pPr>
        <w:pStyle w:val="Heading2"/>
        <w:spacing w:after="140" w:before="300"/>
      </w:pPr>
      <w:r>
        <w:rPr>
          <w:rFonts w:ascii="Arial" w:cs="Arial" w:eastAsia="Arial" w:hAnsi="Arial"/>
          <w:b/>
          <w:bCs/>
          <w:color w:val="1A3C6E"/>
          <w:sz w:val="28"/>
          <w:szCs w:val="28"/>
        </w:rPr>
        <w:t xml:space="preserve">Month 25–36: Binance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OKX Listing</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$2M+/day volume</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Top 50 BSC token by volume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$100M Market Cap Sustained</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90-day sustained $100M+</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CoinGecko rank &lt; 500</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$5M/Day Volume</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Sustained 90 days</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Binance volume threshold met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1M+ Holder Wallets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Verified active wallets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On-chain metrics verified</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Binance KYC Submission</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Full application package</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Application submitted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Ecosystem TVL $10M+</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Staking, LP, protocol TVL</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DeFiLlama $10M+</w:t>
            </w:r>
          </w:p>
        </w:tc>
      </w:tr>
      <w:tr>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Working Product (100K DAU)</w:t>
            </w:r>
          </w:p>
        </w:tc>
        <w:tc>
          <w:tcPr>
            <w:tcW w:type="dxa" w:w="3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Real user base</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Analytics report provided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BINANCE LISTING</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Target Q3 2028</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HHD/USDT pair live on Binance</w:t>
            </w:r>
          </w:p>
        </w:tc>
      </w:tr>
    </w:tbl>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XVI: TEAM &amp; ADVISORS</w:t>
      </w:r>
    </w:p>
    <w:p>
      <w:pPr>
        <w:pStyle w:val="Heading2"/>
        <w:spacing w:after="140" w:before="300"/>
      </w:pPr>
      <w:r>
        <w:rPr>
          <w:rFonts w:ascii="Arial" w:cs="Arial" w:eastAsia="Arial" w:hAnsi="Arial"/>
          <w:b/>
          <w:bCs/>
          <w:color w:val="1A3C6E"/>
          <w:sz w:val="28"/>
          <w:szCs w:val="28"/>
        </w:rPr>
        <w:t xml:space="preserve">16.1 Core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Background</w:t>
            </w:r>
          </w:p>
        </w:tc>
        <w:tc>
          <w:tcPr>
            <w:tcW w:type="dxa" w:w="3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Credentials</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Do Huu Hai, Ph.D.</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Founder &amp; CEO</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Associate Professor, VIU &amp; Ton Duc Thang University</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ORCID: 0000-0001-5811-7154, HHD Model Creator, 20+ Scopus papers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[CTO — To Be Announced]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Chief Technology Officer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Blockchain developer, 8+ years Solidity/BSC</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Previous: DeFi protocol, Binance Chain developer</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[CFO — To Be Announced]</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Chief Financial Officer</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Former investment banker, crypto fund manager</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CFA, 10+ years traditional + crypto finance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[CLO — To Be Announced]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Chief Legal Officer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International crypto law, Cayman Islands specialist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Qualified solicitor, previous: crypto exchange legal</w:t>
            </w:r>
          </w:p>
        </w:tc>
      </w:tr>
      <w:tr>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[CMO — To Be Announced]</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Chief Marketing Officer</w:t>
            </w:r>
          </w:p>
        </w:tc>
        <w:tc>
          <w:tcPr>
            <w:tcW w:type="dxa" w:w="25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Web3 marketing, KOL network, APAC focus</w:t>
            </w:r>
          </w:p>
        </w:tc>
        <w:tc>
          <w:tcPr>
            <w:tcW w:type="dxa" w:w="3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Previous: Top 50 CMC project marketing lead</w:t>
            </w:r>
          </w:p>
        </w:tc>
      </w:tr>
    </w:tbl>
    <w:p>
      <w:r>
        <w:t xml:space="preserve"/>
      </w:r>
    </w:p>
    <w:p>
      <w:pPr>
        <w:pStyle w:val="Heading2"/>
        <w:spacing w:after="140" w:before="300"/>
      </w:pPr>
      <w:r>
        <w:rPr>
          <w:rFonts w:ascii="Arial" w:cs="Arial" w:eastAsia="Arial" w:hAnsi="Arial"/>
          <w:b/>
          <w:bCs/>
          <w:color w:val="1A3C6E"/>
          <w:sz w:val="28"/>
          <w:szCs w:val="28"/>
        </w:rPr>
        <w:t xml:space="preserve">16.2 Academic &amp; Industry Advisory Board</w:t>
      </w:r>
    </w:p>
    <w:p>
      <w:pPr>
        <w:spacing w:after="80" w:before="80"/>
        <w:jc w:val="both"/>
      </w:pPr>
      <w:r>
        <w:rPr>
          <w:rFonts w:ascii="Arial" w:cs="Arial" w:eastAsia="Arial" w:hAnsi="Arial"/>
          <w:b w:val="false"/>
          <w:bCs w:val="false"/>
          <w:i w:val="false"/>
          <w:iCs w:val="false"/>
          <w:color w:val="4A4A4A"/>
          <w:sz w:val="22"/>
          <w:szCs w:val="22"/>
        </w:rPr>
        <w:t xml:space="preserve">HHD Coin's advisory board combines academic research credibility with blockchain and exchange-listing operational expertise. The academic advisors below are drawn from the founder's existing international co-author network (Lund University, Sweden; Universidad de Granada, Spain; and leading Vietnamese universities), reinforcing the project's research-grade foundations referenced throughout this whitepaper.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00"/>
        <w:gridCol w:w="2060"/>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Institution &amp; Title</w:t>
            </w:r>
          </w:p>
        </w:tc>
        <w:tc>
          <w:tcPr>
            <w:tcW w:type="dxa" w:w="2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Relevant Expertise</w:t>
            </w:r>
          </w:p>
        </w:tc>
        <w:tc>
          <w:tcPr>
            <w:tcW w:type="dxa" w:w="2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 to HHD</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Sandeep Jagtap, Ph.D.</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Lund University, Sweden — Senior Lecturer, Division of Packaging Logistics</w:t>
            </w:r>
          </w:p>
        </w:tc>
        <w:tc>
          <w:tcPr>
            <w:tcW w:type="dxa" w:w="2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Industry 4.0, sustainable manufacturing, supply chain digitalization</w:t>
            </w:r>
          </w:p>
        </w:tc>
        <w:tc>
          <w:tcPr>
            <w:tcW w:type="dxa" w:w="2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Designs Research DAO evaluation criteria; bridges HHD to EU academic networks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Andreas Norrman, Ph.D.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Lund University, Sweden — Professor, Engineering Logistics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Supply chain risk management, digital transformation in industry</w:t>
            </w:r>
          </w:p>
        </w:tc>
        <w:tc>
          <w:tcPr>
            <w:tcW w:type="dxa" w:w="2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Advises on HHD DigiX SME assessment framework and EU partnerships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[Senior Researcher, TBC]</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Universidad de Granada, Spain — Faculty of Economics and Business</w:t>
            </w:r>
          </w:p>
        </w:tc>
        <w:tc>
          <w:tcPr>
            <w:tcW w:type="dxa" w:w="2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ESG, sustainable finance, emerging-market econometrics</w:t>
            </w:r>
          </w:p>
        </w:tc>
        <w:tc>
          <w:tcPr>
            <w:tcW w:type="dxa" w:w="2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Supports HHDAI macroeconomic model validation; EU/LatAm academic outreach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[Senior Researcher, TBC]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Universidad de Granada, Spain — Department of Applied Economics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Digital economy, fintech regulation in EU/Spain</w:t>
            </w:r>
          </w:p>
        </w:tc>
        <w:tc>
          <w:tcPr>
            <w:tcW w:type="dxa" w:w="2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MiCA compliance review; Southern Europe research partnerships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Pham Viet Thang, Ph.D.</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Phenikaa University, Vietnam — Faculty of Economics</w:t>
            </w:r>
          </w:p>
        </w:tc>
        <w:tc>
          <w:tcPr>
            <w:tcW w:type="dxa" w:w="2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Digital transformation, SME management</w:t>
            </w:r>
          </w:p>
        </w:tc>
        <w:tc>
          <w:tcPr>
            <w:tcW w:type="dxa" w:w="2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Vietnam institutional relationships; HHD DigiX program design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Nguyen Thi Anh Thu, Ph.D.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VNU Hanoi — School of Economics &amp; Management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Finance, EdTech policy</w:t>
            </w:r>
          </w:p>
        </w:tc>
        <w:tc>
          <w:tcPr>
            <w:tcW w:type="dxa" w:w="2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University network access; MOET (Ministry of Education) relations</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[Blockchain Legal Advisor — TBC]</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International crypto law firm (target: DLA Piper or Bird &amp; Bird)</w:t>
            </w:r>
          </w:p>
        </w:tc>
        <w:tc>
          <w:tcPr>
            <w:tcW w:type="dxa" w:w="2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SEC / MiCA / Cayman regulatory navigation</w:t>
            </w:r>
          </w:p>
        </w:tc>
        <w:tc>
          <w:tcPr>
            <w:tcW w:type="dxa" w:w="2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Legal opinion drafting; jurisdiction-by-jurisdiction compliance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[Exchange Listing Advisor — TBC]</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Former exchange listings team (Tier-1 CEX)</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Tier-1 exchange listing experience</w:t>
            </w:r>
          </w:p>
        </w:tc>
        <w:tc>
          <w:tcPr>
            <w:tcW w:type="dxa" w:w="2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Binance/Coinbase listing strategy and application review</w:t>
            </w:r>
          </w:p>
        </w:tc>
      </w:tr>
      <w:tr>
        <w:tc>
          <w:tcPr>
            <w:tcW w:type="dxa" w:w="22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[DeFi Protocol Advisor — TBC]</w:t>
            </w:r>
          </w:p>
        </w:tc>
        <w:tc>
          <w:tcPr>
            <w:tcW w:type="dxa" w:w="2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Independent smart contract security researcher</w:t>
            </w:r>
          </w:p>
        </w:tc>
        <w:tc>
          <w:tcPr>
            <w:tcW w:type="dxa" w:w="23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Smart contract security, DeFi architecture</w:t>
            </w:r>
          </w:p>
        </w:tc>
        <w:tc>
          <w:tcPr>
            <w:tcW w:type="dxa" w:w="20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Protocol design review ahead of CertiK/PeckShield audits</w:t>
            </w:r>
          </w:p>
        </w:tc>
      </w:tr>
    </w:tbl>
    <w:p>
      <w:r>
        <w:t xml:space="preserve"/>
      </w:r>
    </w:p>
    <w:p>
      <w:pPr>
        <w:spacing w:after="80" w:before="80"/>
        <w:jc w:val="both"/>
      </w:pPr>
      <w:r>
        <w:rPr>
          <w:rFonts w:ascii="Arial" w:cs="Arial" w:eastAsia="Arial" w:hAnsi="Arial"/>
          <w:b w:val="false"/>
          <w:bCs w:val="false"/>
          <w:i/>
          <w:iCs/>
          <w:color w:val="4A4A4A"/>
          <w:sz w:val="18"/>
          <w:szCs w:val="18"/>
        </w:rPr>
        <w:t xml:space="preserve">Note: Entries marked [TBC] represent advisory positions the HHD Foundation is actively recruiting for as of June 2026, based on warm introductions through the founder's existing Lund University and Universidad de Granada co-author network. Formal advisory agreements will be announced on hhdcoin.net as they are signed.</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XVII: RISK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100"/>
        <w:gridCol w:w="1000"/>
        <w:gridCol w:w="4000"/>
      </w:tblGrid>
      <w:tr>
        <w:trPr>
          <w:tblHeader/>
        </w:trPr>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Category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 Risk</w:t>
            </w:r>
          </w:p>
        </w:tc>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Regulatory</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SEC classifies HHD as security</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Medium</w:t>
            </w:r>
          </w:p>
        </w:tc>
        <w:tc>
          <w:tcPr>
            <w:tcW w:type="dxa" w:w="1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Very High</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Cayman structure, legal opinion, no US marketing, Howey Test compliance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Technology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Smart contract exploit/hack</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Low-Medium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Very High</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CertiK + PeckShield dual audit, bug bounty, insurance (Nexus Mutual)</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Market</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Bear market / crypto winter</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Medium</w:t>
            </w:r>
          </w:p>
        </w:tc>
        <w:tc>
          <w:tcPr>
            <w:tcW w:type="dxa" w:w="1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High</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Treasury reserves (18-month runway), deflationary burn, ecosystem utility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Liquidity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Insufficient DEX liquidity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Low-Medium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High</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Market maker engagement, 4% liquidity allocation locked 12 months</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Team</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Key person departure</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Low-Medium</w:t>
            </w:r>
          </w:p>
        </w:tc>
        <w:tc>
          <w:tcPr>
            <w:tcW w:type="dxa" w:w="1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High</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Vesting cliff, IP held by Foundation, succession planning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Competition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Larger protocol copies HHD model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Medium</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First-mover advantage in VN/SEA, academic partnerships, brand moat</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Adoption</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Low dApp user growth</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Medium</w:t>
            </w:r>
          </w:p>
        </w:tc>
        <w:tc>
          <w:tcPr>
            <w:tcW w:type="dxa" w:w="1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High</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University MOU pipeline, VIU pilot program, token incentive program</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Exchange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Delisting risk post-listing</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High</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Maintain volume, community, governance, compliance proactively</w:t>
            </w:r>
          </w:p>
        </w:tc>
      </w:tr>
      <w:tr>
        <w:tc>
          <w:tcPr>
            <w:tcW w:type="dxa" w:w="14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Hack/Bridge</w:t>
            </w:r>
          </w:p>
        </w:tc>
        <w:tc>
          <w:tcPr>
            <w:tcW w:type="dxa" w:w="2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Cross-chain bridge exploit</w:t>
            </w:r>
          </w:p>
        </w:tc>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Low</w:t>
            </w:r>
          </w:p>
        </w:tc>
        <w:tc>
          <w:tcPr>
            <w:tcW w:type="dxa" w:w="1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High</w:t>
            </w:r>
          </w:p>
        </w:tc>
        <w:tc>
          <w:tcPr>
            <w:tcW w:type="dxa" w:w="4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LayerZero (battle-tested), bridge value limits, insurance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Vietnam Regulatory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Vietnam bans crypto activities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Low-Medium</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High</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Singapore entity for operations, Foundation offshore, local compliance team</w:t>
            </w:r>
          </w:p>
        </w:tc>
      </w:tr>
    </w:tbl>
    <w:p>
      <w:r>
        <w:t xml:space="preserve"/>
      </w:r>
    </w:p>
    <w:p>
      <w:pPr>
        <w:spacing w:after="80" w:before="80"/>
        <w:jc w:val="both"/>
      </w:pPr>
      <w:r>
        <w:rPr>
          <w:rFonts w:ascii="Arial" w:cs="Arial" w:eastAsia="Arial" w:hAnsi="Arial"/>
          <w:b w:val="false"/>
          <w:bCs w:val="false"/>
          <w:i/>
          <w:iCs/>
          <w:color w:val="4A4A4A"/>
          <w:sz w:val="22"/>
          <w:szCs w:val="22"/>
        </w:rPr>
        <w:t xml:space="preserve">Transparency commitment: All risks identified above will be revisited quarterly in the HHD Foundation Transparency Report, alongside updated mitigation status, treasury balances, and governance activity logs — published on hhdcoin.net and on-chain.</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PART XVIII: REFERENCES &amp; SUPPORTING EVIDENCE</w:t>
      </w:r>
    </w:p>
    <w:p>
      <w:pPr>
        <w:spacing w:after="80" w:before="80"/>
        <w:jc w:val="both"/>
      </w:pPr>
      <w:r>
        <w:rPr>
          <w:rFonts w:ascii="Arial" w:cs="Arial" w:eastAsia="Arial" w:hAnsi="Arial"/>
          <w:b w:val="false"/>
          <w:bCs w:val="false"/>
          <w:i w:val="false"/>
          <w:iCs w:val="false"/>
          <w:color w:val="4A4A4A"/>
          <w:sz w:val="22"/>
          <w:szCs w:val="22"/>
        </w:rPr>
        <w:t xml:space="preserve">To support the market analysis and problem statements in this whitepaper, HHD Coin draws on published research and reports from internationally recognized organizations studying blockchain applications in education and research. Key findings include:</w:t>
      </w:r>
    </w:p>
    <w:p>
      <w:pPr>
        <w:pStyle w:val="ListParagraph"/>
        <w:numPr>
          <w:ilvl w:val="0"/>
          <w:numId w:val="2"/>
        </w:numPr>
        <w:spacing w:after="60" w:before="60"/>
      </w:pPr>
      <w:r>
        <w:rPr>
          <w:rFonts w:ascii="Arial" w:cs="Arial" w:eastAsia="Arial" w:hAnsi="Arial"/>
          <w:color w:val="4A4A4A"/>
          <w:sz w:val="22"/>
          <w:szCs w:val="22"/>
        </w:rPr>
        <w:t xml:space="preserve">The World Economic Forum has highlighted that blockchain can break down geographical and institutional barriers, allowing academic credentials to be globally recognized and instantly validated by institutions and employers worldwide (World Economic Forum, "How universities can use blockchain to transform research," 2024).</w:t>
      </w:r>
    </w:p>
    <w:p>
      <w:pPr>
        <w:pStyle w:val="ListParagraph"/>
        <w:numPr>
          <w:ilvl w:val="0"/>
          <w:numId w:val="2"/>
        </w:numPr>
        <w:spacing w:after="60" w:before="60"/>
      </w:pPr>
      <w:r>
        <w:rPr>
          <w:rFonts w:ascii="Arial" w:cs="Arial" w:eastAsia="Arial" w:hAnsi="Arial"/>
          <w:color w:val="4A4A4A"/>
          <w:sz w:val="22"/>
          <w:szCs w:val="22"/>
        </w:rPr>
        <w:t xml:space="preserve">The World Economic Forum has also noted that blockchain-based distributed ledgers can democratize access to large research datasets, enabling broader global participation in scientific research and education (World Economic Forum, 2024).</w:t>
      </w:r>
    </w:p>
    <w:p>
      <w:pPr>
        <w:pStyle w:val="ListParagraph"/>
        <w:numPr>
          <w:ilvl w:val="0"/>
          <w:numId w:val="2"/>
        </w:numPr>
        <w:spacing w:after="60" w:before="60"/>
      </w:pPr>
      <w:r>
        <w:rPr>
          <w:rFonts w:ascii="Arial" w:cs="Arial" w:eastAsia="Arial" w:hAnsi="Arial"/>
          <w:color w:val="4A4A4A"/>
          <w:sz w:val="22"/>
          <w:szCs w:val="22"/>
        </w:rPr>
        <w:t xml:space="preserve">A 2021 World Economic Forum analysis estimated that by 2025, approximately 100 million learners capable of higher education would lack access to it, and proposed blockchain-based open educational resources as part of the solution under UN Sustainable Development Goal 4 (World Economic Forum, "What is blockchain and how could it improve access to education?", 2021).</w:t>
      </w:r>
    </w:p>
    <w:p>
      <w:pPr>
        <w:pStyle w:val="ListParagraph"/>
        <w:numPr>
          <w:ilvl w:val="0"/>
          <w:numId w:val="2"/>
        </w:numPr>
        <w:spacing w:after="60" w:before="60"/>
      </w:pPr>
      <w:r>
        <w:rPr>
          <w:rFonts w:ascii="Arial" w:cs="Arial" w:eastAsia="Arial" w:hAnsi="Arial"/>
          <w:color w:val="4A4A4A"/>
          <w:sz w:val="22"/>
          <w:szCs w:val="22"/>
        </w:rPr>
        <w:t xml:space="preserve">The European Commission's Joint Research Centre published an early foundational report outlining eight scenarios for blockchain applications in education, covering certification, credentialing, and institutional record-keeping (Grech &amp; Camilleri, "Blockchain in Education", European Commission JRC, 2017).</w:t>
      </w:r>
    </w:p>
    <w:p>
      <w:pPr>
        <w:pStyle w:val="ListParagraph"/>
        <w:numPr>
          <w:ilvl w:val="0"/>
          <w:numId w:val="2"/>
        </w:numPr>
        <w:spacing w:after="60" w:before="60"/>
      </w:pPr>
      <w:r>
        <w:rPr>
          <w:rFonts w:ascii="Arial" w:cs="Arial" w:eastAsia="Arial" w:hAnsi="Arial"/>
          <w:color w:val="4A4A4A"/>
          <w:sz w:val="22"/>
          <w:szCs w:val="22"/>
        </w:rPr>
        <w:t xml:space="preserve">Academic literature reviews of Scopus-indexed publications confirm rapid growth in blockchain-and-diploma research since 2018, reflecting accelerating institutional interest in tamper-proof credential systems (peer-reviewed literature review, 2021).</w:t>
      </w:r>
    </w:p>
    <w:p>
      <w:pPr>
        <w:pStyle w:val="ListParagraph"/>
        <w:numPr>
          <w:ilvl w:val="0"/>
          <w:numId w:val="2"/>
        </w:numPr>
        <w:spacing w:after="60" w:before="60"/>
      </w:pPr>
      <w:r>
        <w:rPr>
          <w:rFonts w:ascii="Arial" w:cs="Arial" w:eastAsia="Arial" w:hAnsi="Arial"/>
          <w:color w:val="4A4A4A"/>
          <w:sz w:val="22"/>
          <w:szCs w:val="22"/>
        </w:rPr>
        <w:t xml:space="preserve">Recent peer-reviewed analysis (2025) concludes that blockchain-based credentialing offers a path toward a transparent, borderless academic verification ecosystem aligned with the needs of a global knowledge economy — directly supporting the HHD Credential Chain design described in Section 1.6 and Section 6 of the Technical Architecture Document.</w:t>
      </w:r>
    </w:p>
    <w:p>
      <w:r>
        <w:t xml:space="preserve"/>
      </w:r>
    </w:p>
    <w:p>
      <w:pPr>
        <w:spacing w:after="80" w:before="80"/>
        <w:jc w:val="both"/>
      </w:pPr>
      <w:r>
        <w:rPr>
          <w:rFonts w:ascii="Arial" w:cs="Arial" w:eastAsia="Arial" w:hAnsi="Arial"/>
          <w:b w:val="false"/>
          <w:bCs w:val="false"/>
          <w:i/>
          <w:iCs/>
          <w:color w:val="4A4A4A"/>
          <w:sz w:val="22"/>
          <w:szCs w:val="22"/>
        </w:rPr>
        <w:t xml:space="preserve">These external sources are cited to ground HHD Coin's product design in established research trends rather than speculative claims. Full citations are available on request and will be maintained in a living bibliography at hhdcoin.net/research.</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APPENDIX: WEBSITE CONTENT ARCHITECTURE</w:t>
      </w:r>
    </w:p>
    <w:p>
      <w:pPr>
        <w:pStyle w:val="Heading2"/>
        <w:spacing w:after="140" w:before="300"/>
      </w:pPr>
      <w:r>
        <w:rPr>
          <w:rFonts w:ascii="Arial" w:cs="Arial" w:eastAsia="Arial" w:hAnsi="Arial"/>
          <w:b/>
          <w:bCs/>
          <w:color w:val="1A3C6E"/>
          <w:sz w:val="28"/>
          <w:szCs w:val="28"/>
        </w:rPr>
        <w:t xml:space="preserve">A.1 Website Structure (SEO-Optimized)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000"/>
        <w:gridCol w:w="3460"/>
      </w:tblGrid>
      <w:tr>
        <w:trPr>
          <w:tblHeader/>
        </w:trPr>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Keyword</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 Description</w:t>
            </w:r>
          </w:p>
        </w:tc>
        <w:tc>
          <w:tcPr>
            <w:tcW w:type="dxa" w:w="34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Content</w:t>
            </w:r>
          </w:p>
        </w:tc>
      </w:tr>
      <w:tr>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Home</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Coin blockchain education</w:t>
            </w:r>
          </w:p>
        </w:tc>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Coin — The blockchain token empowering education, research, and digital innovation in Vietnam and Southeast Asia.</w:t>
            </w:r>
          </w:p>
        </w:tc>
        <w:tc>
          <w:tcPr>
            <w:tcW w:type="dxa" w:w="3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Hero, tokenomics summary, roadmap preview, partners, CTA</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About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Coin project overview</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Learn about HHD Coin's mission, vision, and team building the knowledge economy blockchain.</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Mission, vision, team, history, academic credentials</w:t>
            </w:r>
          </w:p>
        </w:tc>
      </w:tr>
      <w:tr>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Tokenomics</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token allocation economics</w:t>
            </w:r>
          </w:p>
        </w:tc>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Explore HHD Coin's transparent tokenomics: 1 billion supply, deflationary burns, staking rewards.</w:t>
            </w:r>
          </w:p>
        </w:tc>
        <w:tc>
          <w:tcPr>
            <w:tcW w:type="dxa" w:w="3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Allocation charts, vesting, utility, burn mechanism</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Roadmap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Coin development timeline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Coin roadmap 2026–2030: from mainnet launch to Binance listing and global knowledge economy.</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2026–2030 milestones, progress tracker</w:t>
            </w:r>
          </w:p>
        </w:tc>
      </w:tr>
      <w:tr>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Whitepaper</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Coin whitepaper download</w:t>
            </w:r>
          </w:p>
        </w:tc>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Download the official HHD Coin whitepaper — complete blockchain, tokenomics, and governance documentation.</w:t>
            </w:r>
          </w:p>
        </w:tc>
        <w:tc>
          <w:tcPr>
            <w:tcW w:type="dxa" w:w="3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PDF download, executive summary, audit links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Team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Coin team advisors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Meet the HHD Coin team: academics, blockchain engineers, and financial experts building the future of EdTech.</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Team bios, LinkedIn links, advisor profiles</w:t>
            </w:r>
          </w:p>
        </w:tc>
      </w:tr>
      <w:tr>
        <w:tc>
          <w:tcPr>
            <w:tcW w:type="dxa" w:w="11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FAQ</w:t>
            </w:r>
          </w:p>
        </w:tc>
        <w:tc>
          <w:tcPr>
            <w:tcW w:type="dxa" w:w="18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HHD Coin FAQ questions</w:t>
            </w:r>
          </w:p>
        </w:tc>
        <w:tc>
          <w:tcPr>
            <w:tcW w:type="dxa" w:w="300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Answers to frequently asked questions about HHD Coin: buying, staking, listing, and platform features.</w:t>
            </w:r>
          </w:p>
        </w:tc>
        <w:tc>
          <w:tcPr>
            <w:tcW w:type="dxa" w:w="3460"/>
            <w:tcBorders>
              <w:top w:val="single" w:color="CCCCCC" w:sz="1"/>
              <w:left w:val="single" w:color="CCCCCC" w:sz="1"/>
              <w:bottom w:val="single" w:color="CCCCCC" w:sz="1"/>
              <w:right w:val="single" w:color="CCCCCC" w:sz="1"/>
            </w:tcBorders>
            <w:shd w:fill="EEF4FB" w:val="clear"/>
            <w:tcMar>
              <w:top w:type="dxa" w:w="70"/>
              <w:left w:type="dxa" w:w="120"/>
              <w:bottom w:type="dxa" w:w="70"/>
              <w:right w:type="dxa" w:w="120"/>
            </w:tcMar>
          </w:tcPr>
          <w:p>
            <w:pPr>
              <w:jc w:val="left"/>
            </w:pPr>
            <w:r>
              <w:rPr>
                <w:rFonts w:ascii="Arial" w:cs="Arial" w:eastAsia="Arial" w:hAnsi="Arial"/>
                <w:color w:val="4A4A4A"/>
                <w:sz w:val="20"/>
                <w:szCs w:val="20"/>
              </w:rPr>
              <w:t xml:space="preserve">30+ Q&amp;A on token, staking, legal, platform</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Contact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HHD Coin contact press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Contact HHD Coin for partnership, press, investor relations, and developer inquiries.</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color w:val="4A4A4A"/>
                <w:sz w:val="20"/>
                <w:szCs w:val="20"/>
              </w:rPr>
              <w:t xml:space="preserve">Contact form, Telegram, email, social links</w:t>
            </w:r>
          </w:p>
        </w:tc>
      </w:tr>
    </w:tbl>
    <w:p>
      <w:r>
        <w:t xml:space="preserve"/>
      </w:r>
    </w:p>
    <w:p>
      <w:pPr>
        <w:pStyle w:val="Heading2"/>
        <w:spacing w:after="140" w:before="300"/>
      </w:pPr>
      <w:r>
        <w:rPr>
          <w:rFonts w:ascii="Arial" w:cs="Arial" w:eastAsia="Arial" w:hAnsi="Arial"/>
          <w:b/>
          <w:bCs/>
          <w:color w:val="1A3C6E"/>
          <w:sz w:val="28"/>
          <w:szCs w:val="28"/>
        </w:rPr>
        <w:t xml:space="preserve">A.2 SEO Strategy</w:t>
      </w:r>
    </w:p>
    <w:p>
      <w:pPr>
        <w:spacing w:after="80" w:before="80"/>
        <w:jc w:val="both"/>
      </w:pPr>
      <w:r>
        <w:rPr>
          <w:rFonts w:ascii="Arial" w:cs="Arial" w:eastAsia="Arial" w:hAnsi="Arial"/>
          <w:b w:val="false"/>
          <w:bCs w:val="false"/>
          <w:i w:val="false"/>
          <w:iCs w:val="false"/>
          <w:color w:val="4A4A4A"/>
          <w:sz w:val="22"/>
          <w:szCs w:val="22"/>
        </w:rPr>
        <w:t xml:space="preserve">Primary keywords: 'HHD Coin', 'HHD token Vietnam', 'education blockchain Vietnam', 'research DAO', 'EdTech cryptocurrency', 'BNB Smart Chain education token'</w:t>
      </w:r>
    </w:p>
    <w:p>
      <w:pPr>
        <w:spacing w:after="80" w:before="80"/>
        <w:jc w:val="both"/>
      </w:pPr>
      <w:r>
        <w:rPr>
          <w:rFonts w:ascii="Arial" w:cs="Arial" w:eastAsia="Arial" w:hAnsi="Arial"/>
          <w:b w:val="false"/>
          <w:bCs w:val="false"/>
          <w:i w:val="false"/>
          <w:iCs w:val="false"/>
          <w:color w:val="4A4A4A"/>
          <w:sz w:val="22"/>
          <w:szCs w:val="22"/>
        </w:rPr>
        <w:t xml:space="preserve">Long-tail keywords: 'blockchain for education Vietnam', 'crypto token academic credentials', 'research grant DAO blockchain', 'digital transformation token SME'</w:t>
      </w:r>
    </w:p>
    <w:p>
      <w:pPr>
        <w:spacing w:after="80" w:before="80"/>
        <w:jc w:val="both"/>
      </w:pPr>
      <w:r>
        <w:rPr>
          <w:rFonts w:ascii="Arial" w:cs="Arial" w:eastAsia="Arial" w:hAnsi="Arial"/>
          <w:b w:val="false"/>
          <w:bCs w:val="false"/>
          <w:i w:val="false"/>
          <w:iCs w:val="false"/>
          <w:color w:val="4A4A4A"/>
          <w:sz w:val="22"/>
          <w:szCs w:val="22"/>
        </w:rPr>
        <w:t xml:space="preserve">Content strategy: 2 blog posts/week targeting Scopus researchers, fintech professionals, educators, and crypto investors in Vietnam and SEA. Vietnamese and English bilingual content.</w:t>
      </w:r>
    </w:p>
    <w:p>
      <w:r>
        <w:br w:type="page"/>
      </w:r>
    </w:p>
    <w:p>
      <w:pPr>
        <w:pStyle w:val="Heading1"/>
        <w:pBdr>
          <w:bottom w:val="single" w:color="D4A017" w:sz="4" w:space="4"/>
        </w:pBdr>
        <w:spacing w:after="200" w:before="400"/>
      </w:pPr>
      <w:r>
        <w:rPr>
          <w:rFonts w:ascii="Arial" w:cs="Arial" w:eastAsia="Arial" w:hAnsi="Arial"/>
          <w:b/>
          <w:bCs/>
          <w:color w:val="0A1628"/>
          <w:sz w:val="36"/>
          <w:szCs w:val="36"/>
        </w:rPr>
        <w:t xml:space="preserve">CONCLUSION</w:t>
      </w:r>
    </w:p>
    <w:p>
      <w:pPr>
        <w:spacing w:after="80" w:before="80"/>
        <w:jc w:val="both"/>
      </w:pPr>
      <w:r>
        <w:rPr>
          <w:rFonts w:ascii="Arial" w:cs="Arial" w:eastAsia="Arial" w:hAnsi="Arial"/>
          <w:b w:val="false"/>
          <w:bCs w:val="false"/>
          <w:i w:val="false"/>
          <w:iCs w:val="false"/>
          <w:color w:val="4A4A4A"/>
          <w:sz w:val="22"/>
          <w:szCs w:val="22"/>
        </w:rPr>
        <w:t xml:space="preserve">HHD Coin represents a uniquely differentiated blockchain project at the intersection of three powerful global megatrends: the explosive growth of EdTech, the mainstream adoption of blockchain technology, and the accelerating digital transformation of Vietnam and Southeast Asia.</w:t>
      </w:r>
    </w:p>
    <w:p>
      <w:pPr>
        <w:spacing w:after="80" w:before="80"/>
        <w:jc w:val="both"/>
      </w:pPr>
      <w:r>
        <w:rPr>
          <w:rFonts w:ascii="Arial" w:cs="Arial" w:eastAsia="Arial" w:hAnsi="Arial"/>
          <w:b w:val="false"/>
          <w:bCs w:val="false"/>
          <w:i w:val="false"/>
          <w:iCs w:val="false"/>
          <w:color w:val="4A4A4A"/>
          <w:sz w:val="22"/>
          <w:szCs w:val="22"/>
        </w:rPr>
        <w:t xml:space="preserve">The project benefits from exceptional founder credentials — Associate Professor Do Huu Hai brings rare academic credibility, published research methodology (HHD-index, HHDAI 2.0), and institutional relationships across Vietnam's leading universities — providing an authentic use case and a defensible moat that purely financial crypto projects cannot replicate.</w:t>
      </w:r>
    </w:p>
    <w:p>
      <w:pPr>
        <w:spacing w:after="80" w:before="80"/>
        <w:jc w:val="both"/>
      </w:pPr>
      <w:r>
        <w:rPr>
          <w:rFonts w:ascii="Arial" w:cs="Arial" w:eastAsia="Arial" w:hAnsi="Arial"/>
          <w:b w:val="false"/>
          <w:bCs w:val="false"/>
          <w:i w:val="false"/>
          <w:iCs w:val="false"/>
          <w:color w:val="4A4A4A"/>
          <w:sz w:val="22"/>
          <w:szCs w:val="22"/>
        </w:rPr>
        <w:t xml:space="preserve">With a sound legal structure, transparent tokenomics, deflationary mechanics, and a clear 36-month pathway to Binance listing, HHD Coin is positioned to become the flagship knowledge economy token of Southeast Asia.</w:t>
      </w:r>
    </w:p>
    <w:p>
      <w:pPr>
        <w:spacing w:after="80" w:before="80"/>
        <w:jc w:val="both"/>
      </w:pPr>
      <w:r>
        <w:rPr>
          <w:rFonts w:ascii="Arial" w:cs="Arial" w:eastAsia="Arial" w:hAnsi="Arial"/>
          <w:b w:val="false"/>
          <w:bCs w:val="false"/>
          <w:i w:val="false"/>
          <w:iCs w:val="false"/>
          <w:color w:val="4A4A4A"/>
          <w:sz w:val="22"/>
          <w:szCs w:val="22"/>
        </w:rPr>
        <w:t xml:space="preserve">We invite investors, partners, universities, research institutions, and community members to join the HHD ecosystem and participate in building the decentralized knowledge economy of the future.</w:t>
      </w:r>
    </w:p>
    <w:p>
      <w:r>
        <w:t xml:space="preserve"/>
      </w:r>
    </w:p>
    <w:p>
      <w:r>
        <w:t xml:space="preserve"/>
      </w:r>
    </w:p>
    <w:p>
      <w:pPr>
        <w:spacing w:after="80" w:before="80"/>
        <w:jc w:val="center"/>
      </w:pPr>
      <w:r>
        <w:rPr>
          <w:rFonts w:ascii="Arial" w:cs="Arial" w:eastAsia="Arial" w:hAnsi="Arial"/>
          <w:b w:val="false"/>
          <w:bCs w:val="false"/>
          <w:i/>
          <w:iCs/>
          <w:color w:val="4A4A4A"/>
          <w:sz w:val="22"/>
          <w:szCs w:val="22"/>
        </w:rPr>
        <w:t xml:space="preserve">Contact: haidh1975@gmail.com | https://hhdcoin.net | Telegram: t.me/HHDCoin</w:t>
      </w:r>
    </w:p>
    <w:p>
      <w:pPr>
        <w:spacing w:after="80" w:before="80"/>
        <w:jc w:val="center"/>
      </w:pPr>
      <w:r>
        <w:rPr>
          <w:rFonts w:ascii="Arial" w:cs="Arial" w:eastAsia="Arial" w:hAnsi="Arial"/>
          <w:b w:val="false"/>
          <w:bCs w:val="false"/>
          <w:i/>
          <w:iCs/>
          <w:color w:val="4A4A4A"/>
          <w:sz w:val="22"/>
          <w:szCs w:val="22"/>
        </w:rPr>
        <w:t xml:space="preserve">HHD Foundation | Cayman Islands | Singapore | Vietnam | 2026</w:t>
      </w:r>
    </w:p>
    <w:p>
      <w:r>
        <w:t xml:space="preserve"/>
      </w:r>
    </w:p>
    <w:p>
      <w:r>
        <w:t xml:space="preserve"/>
      </w:r>
    </w:p>
    <w:p>
      <w:pPr>
        <w:spacing w:after="80" w:before="80"/>
        <w:jc w:val="center"/>
      </w:pPr>
      <w:r>
        <w:rPr>
          <w:rFonts w:ascii="Arial" w:cs="Arial" w:eastAsia="Arial" w:hAnsi="Arial"/>
          <w:b w:val="false"/>
          <w:bCs w:val="false"/>
          <w:i/>
          <w:iCs/>
          <w:color w:val="4A4A4A"/>
          <w:sz w:val="18"/>
          <w:szCs w:val="18"/>
        </w:rPr>
        <w:t xml:space="preserve">© 2026 HHD Foundation. All rights reserved. This document is confidential and for informational purposes only.</w:t>
      </w:r>
    </w:p>
    <w:sectPr>
      <w:headerReference w:type="default" r:id="rId7"/>
      <w:footerReference w:type="default" r:id="rId8"/>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space="4"/>
      </w:pBdr>
      <w:tabs>
        <w:tab w:val="right" w:pos="9026"/>
      </w:tabs>
    </w:pPr>
    <w:r>
      <w:rPr>
        <w:rFonts w:ascii="Arial" w:cs="Arial" w:eastAsia="Arial" w:hAnsi="Arial"/>
        <w:color w:val="4A4A4A"/>
        <w:sz w:val="16"/>
        <w:szCs w:val="16"/>
      </w:rPr>
      <w:t xml:space="preserve">© 2026 HHD Foundation | hhdcoin.net</w:t>
    </w:r>
    <w:r>
      <w:rPr>
        <w:rFonts w:ascii="Arial" w:cs="Arial" w:eastAsia="Arial" w:hAnsi="Arial"/>
        <w:color w:val="4A4A4A"/>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4" w:space="4"/>
      </w:pBd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28600"/>
                  </a:xfrm>
                  <a:prstGeom prst="rect">
                    <a:avLst/>
                  </a:prstGeom>
                </pic:spPr>
              </pic:pic>
            </a:graphicData>
          </a:graphic>
        </wp:inline>
      </w:drawing>
    </w:r>
    <w:r>
      <w:rPr>
        <w:rFonts w:ascii="Arial" w:cs="Arial" w:eastAsia="Arial" w:hAnsi="Arial"/>
        <w:b/>
        <w:bCs/>
        <w:color w:val="1A3C6E"/>
        <w:sz w:val="16"/>
        <w:szCs w:val="16"/>
      </w:rPr>
      <w:t xml:space="preserve">  HHD COIN — WHITEPAPER v1.0</w:t>
    </w:r>
    <w:r>
      <w:rPr>
        <w:rFonts w:ascii="Arial" w:cs="Arial" w:eastAsia="Arial" w:hAnsi="Arial"/>
        <w:color w:val="4A4A4A"/>
        <w:sz w:val="16"/>
        <w:szCs w:val="16"/>
      </w:rPr>
      <w:t xml:space="preserve">    |    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A3C6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6D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50682af95b7cfa890bb3a1f254d2480b668b16.png"/><Relationship Id="rId10" Type="http://schemas.openxmlformats.org/officeDocument/2006/relationships/image" Target="media/83ed3a0ad5bf3f4f833cc04e3871000211c3ea69.png"/><Relationship Id="rId11" Type="http://schemas.openxmlformats.org/officeDocument/2006/relationships/image" Target="media/93c33372de7fad07c406dc84e99ac6f42e547c8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d50682af95b7cfa890bb3a1f254d2480b668b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2026-06-13T02:05:05.015Z</dcterms:created>
  <dcterms:modified xsi:type="dcterms:W3CDTF">2026-06-13T02:05:05.025Z</dcterms:modified>
</cp:coreProperties>
</file>

<file path=docProps/custom.xml><?xml version="1.0" encoding="utf-8"?>
<Properties xmlns="http://schemas.openxmlformats.org/officeDocument/2006/custom-properties" xmlns:vt="http://schemas.openxmlformats.org/officeDocument/2006/docPropsVTypes"/>
</file>