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i00ipheprbxj" w:id="0"/>
      <w:bookmarkEnd w:id="0"/>
      <w:r w:rsidDel="00000000" w:rsidR="00000000" w:rsidRPr="00000000">
        <w:rPr>
          <w:rFonts w:ascii="Times New Roman" w:cs="Times New Roman" w:eastAsia="Times New Roman" w:hAnsi="Times New Roman"/>
          <w:b w:val="1"/>
          <w:bCs w:val="1"/>
          <w:color w:val="000000"/>
          <w:rtl w:val="0"/>
        </w:rPr>
        <w:t xml:space="preserve">1. What Is Sensitive in This Dataset?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deidentified, MIMIC-IV still contains highly sensitive clinical information across multiple tables, even just out of the 12 we have decided to focus on in this analysis. If all tables were included, even more sensitive information is available, and more combinations are available to identify someone. This is on top of the structural sensitivity: the dataset covers patients admitted to Beth Israel Deaconess Medical Center, a specific real institution. This geographic and institutional specificity narrows the pool of possible subjects, increasing re-identification risk. </w:t>
      </w:r>
    </w:p>
    <w:p w:rsidR="00000000" w:rsidDel="00000000" w:rsidP="00000000" w:rsidRDefault="00000000" w:rsidRPr="00000000" w14:paraId="00000003">
      <w:pPr>
        <w:spacing w:after="0" w:before="240" w:lineRule="auto"/>
        <w:ind w:left="0" w:firstLine="0"/>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Directly Sensitive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biological sex, date of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type, race/ethnicity, admit/discharge times, admission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Bedside vitals — reveals real-time severity of illness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values — can strongly imply diagnoses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 name, dose, route, schedule — medications are powerful diagnosis proxies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timestamps of medication administration — reveals care intensity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emar_detail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Infusion rates, doses given vs. ordered — highly granular clinical detail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icustays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ICU admission/discharge times, care unit type — implies severity and condition category </w:t>
            </w:r>
          </w:p>
        </w:tc>
      </w:tr>
    </w:tbl>
    <w:p w:rsidR="00000000" w:rsidDel="00000000" w:rsidP="00000000" w:rsidRDefault="00000000" w:rsidRPr="00000000" w14:paraId="00000016">
      <w:pPr>
        <w:spacing w:after="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Indirectly sensitive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unit movements reveals care escalation/de-escalation patterns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service (e.g., psychiatry, oncology, cardiac surgery) strongly implies diagnosis even without explicit coding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ICU item labels and units — not patient-level, but contextualizes chartevents sensitivity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d_labitems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 names and specimen types — contextualizes labevents sensitivity </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21">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Combination Risk</w:t>
      </w:r>
    </w:p>
    <w:p w:rsidR="00000000" w:rsidDel="00000000" w:rsidP="00000000" w:rsidRDefault="00000000" w:rsidRPr="00000000" w14:paraId="00000022">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table alone is necessarily identifying, but combinations are dangerous. As an example, age and sex can be identified from the patients table + race, insurance and admit date from admissions table + clinical services from services table = a profile that could uniquely identify one of the 100 patients in this dataset. Prescriptions + labevents could reconstruct a near-complete clinical picture for a potent even without a formal diagnosis.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8i7741m9adle" w:id="1"/>
      <w:bookmarkEnd w:id="1"/>
      <w:r w:rsidDel="00000000" w:rsidR="00000000" w:rsidRPr="00000000">
        <w:rPr>
          <w:rFonts w:ascii="Times New Roman" w:cs="Times New Roman" w:eastAsia="Times New Roman" w:hAnsi="Times New Roman"/>
          <w:b w:val="1"/>
          <w:bCs w:val="1"/>
          <w:color w:val="000000"/>
          <w:rtl w:val="0"/>
        </w:rPr>
        <w:t xml:space="preserve">2. How Will You Protect This Information?</w:t>
      </w:r>
    </w:p>
    <w:p w:rsidR="00000000" w:rsidDel="00000000" w:rsidP="00000000" w:rsidRDefault="00000000" w:rsidRPr="00000000" w14:paraId="00000025">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protections are already in place, including but not limited to:</w:t>
      </w:r>
    </w:p>
    <w:p w:rsidR="00000000" w:rsidDel="00000000" w:rsidP="00000000" w:rsidRDefault="00000000" w:rsidRPr="00000000" w14:paraId="00000026">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IDs replaced with random integers</w:t>
      </w:r>
    </w:p>
    <w:p w:rsidR="00000000" w:rsidDel="00000000" w:rsidP="00000000" w:rsidRDefault="00000000" w:rsidRPr="00000000" w14:paraId="00000027">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dates shifted by random offsets</w:t>
      </w:r>
    </w:p>
    <w:p w:rsidR="00000000" w:rsidDel="00000000" w:rsidP="00000000" w:rsidRDefault="00000000" w:rsidRPr="00000000" w14:paraId="00000028">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identifiers removed</w:t>
      </w:r>
    </w:p>
    <w:p w:rsidR="00000000" w:rsidDel="00000000" w:rsidP="00000000" w:rsidRDefault="00000000" w:rsidRPr="00000000" w14:paraId="00000029">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Realistically, this data is already publicly available as is, hence we got access to it. However, in theory, there are several measures that could be taken to further protect the data on top of the data masking attempts already made:</w:t>
      </w:r>
    </w:p>
    <w:p w:rsidR="00000000" w:rsidDel="00000000" w:rsidP="00000000" w:rsidRDefault="00000000" w:rsidRPr="00000000" w14:paraId="0000002A">
      <w:pPr>
        <w:numPr>
          <w:ilvl w:val="0"/>
          <w:numId w:val="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access to only team members who need it, and have separate role-based permissions so that each team member only has access to the tables that are absolutely necessary for their work. Avoid having a merged “master table.”</w:t>
      </w:r>
    </w:p>
    <w:p w:rsidR="00000000" w:rsidDel="00000000" w:rsidP="00000000" w:rsidRDefault="00000000" w:rsidRPr="00000000" w14:paraId="0000002B">
      <w:pPr>
        <w:numPr>
          <w:ilvl w:val="0"/>
          <w:numId w:val="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should formally commit to a data use agreement, and/or have completed HIPAA/human subjects research training.</w:t>
      </w:r>
    </w:p>
    <w:p w:rsidR="00000000" w:rsidDel="00000000" w:rsidP="00000000" w:rsidRDefault="00000000" w:rsidRPr="00000000" w14:paraId="0000002C">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 who accesses the dataset, when, and what queries or exports they run.</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sz w:val="24"/>
          <w:szCs w:val="24"/>
        </w:rPr>
      </w:pPr>
      <w:bookmarkStart w:colFirst="0" w:colLast="0" w:name="_w80zqja15nfx" w:id="2"/>
      <w:bookmarkEnd w:id="2"/>
      <w:r w:rsidDel="00000000" w:rsidR="00000000" w:rsidRPr="00000000">
        <w:rPr>
          <w:rFonts w:ascii="Times New Roman" w:cs="Times New Roman" w:eastAsia="Times New Roman" w:hAnsi="Times New Roman"/>
          <w:b w:val="1"/>
          <w:bCs w:val="1"/>
          <w:color w:val="000000"/>
          <w:rtl w:val="0"/>
        </w:rPr>
        <w:t xml:space="preserve">3. If the Dataset Is Re-Used in the Future, What Concerns Might Exist?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Re-identification: </w:t>
      </w:r>
      <w:r w:rsidDel="00000000" w:rsidR="00000000" w:rsidRPr="00000000">
        <w:rPr>
          <w:rFonts w:ascii="Times New Roman" w:cs="Times New Roman" w:eastAsia="Times New Roman" w:hAnsi="Times New Roman"/>
          <w:sz w:val="24"/>
          <w:szCs w:val="24"/>
          <w:rtl w:val="0"/>
        </w:rPr>
        <w:t xml:space="preserve">Especially with a cohort as small as n=100, a future user combining patients + admissions + icustays + services with external data (e.g., hospital records, local news about ICU deaths, discharge reports, etc.) could possibly re-identify individuals, particularly those with rare diagnoses implied by services or unusual drug regimens in perspective and emar.</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Temporal Validity: </w:t>
      </w:r>
      <w:r w:rsidDel="00000000" w:rsidR="00000000" w:rsidRPr="00000000">
        <w:rPr>
          <w:rFonts w:ascii="Times New Roman" w:cs="Times New Roman" w:eastAsia="Times New Roman" w:hAnsi="Times New Roman"/>
          <w:sz w:val="24"/>
          <w:szCs w:val="24"/>
          <w:rtl w:val="0"/>
        </w:rPr>
        <w:t xml:space="preserve">The patients were drawn from 2011-2016. Clinical protocols, drug formularies, lab reference ranges, and even ICU monitoring practices change over time. Models or analysis based on this data may not generalize to current patients.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Expansion: </w:t>
      </w:r>
      <w:r w:rsidDel="00000000" w:rsidR="00000000" w:rsidRPr="00000000">
        <w:rPr>
          <w:rFonts w:ascii="Times New Roman" w:cs="Times New Roman" w:eastAsia="Times New Roman" w:hAnsi="Times New Roman"/>
          <w:sz w:val="24"/>
          <w:szCs w:val="24"/>
          <w:rtl w:val="0"/>
        </w:rPr>
        <w:t xml:space="preserve">The dataset was collected for clinical care and approved for research. Re-use for commercial AI development, insurance risk scoring, or any purpose beyond the original research intent violates the ethical basis on which consent was waived.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nry Shi" w:id="0" w:date="2026-05-26T05:21:33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Ian/Roxy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probably too much detail. You might choose to put this on the slide, but don't worry too much about knowing it detailedly. It's just examples of data in the dataset that could be used to identify people. For the slides, just focus on the ideas (first paragraph I wrote above), and maybe give an example (combination risk paragraph below) of how someone could be identified by their illness and medical information.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